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Анкета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участника публичных консультаций, проводимых посредством сбора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замечаний и предложений организаций и граждан в рамках анализа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проекта нормативно-правового акта на предмет его влияния на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конкуренцию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1. Общие сведения об участнике публичных консультаций</w:t>
      </w:r>
    </w:p>
    <w:tbl>
      <w:tblPr>
        <w:tblW w:w="9366" w:type="dxa"/>
        <w:jc w:val="left"/>
        <w:tblInd w:w="0" w:type="dxa"/>
        <w:tblCellMar>
          <w:top w:w="0" w:type="dxa"/>
          <w:left w:w="5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4671"/>
        <w:gridCol w:w="4694"/>
      </w:tblGrid>
      <w:tr>
        <w:trPr>
          <w:trHeight w:val="565" w:hRule="exact"/>
        </w:trPr>
        <w:tc>
          <w:tcPr>
            <w:tcW w:w="4671" w:type="dxa"/>
            <w:tcBorders>
              <w:top w:val="single" w:sz="4" w:space="0" w:color="000001"/>
              <w:left w:val="single" w:sz="4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lineRule="exact" w:line="277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69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565" w:hRule="exact"/>
        </w:trPr>
        <w:tc>
          <w:tcPr>
            <w:tcW w:w="4671" w:type="dxa"/>
            <w:tcBorders>
              <w:top w:val="single" w:sz="4" w:space="0" w:color="000001"/>
              <w:left w:val="single" w:sz="4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lineRule="exact" w:line="277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469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565" w:hRule="exact"/>
        </w:trPr>
        <w:tc>
          <w:tcPr>
            <w:tcW w:w="4671" w:type="dxa"/>
            <w:tcBorders>
              <w:top w:val="single" w:sz="4" w:space="0" w:color="000001"/>
              <w:left w:val="single" w:sz="4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lineRule="exact" w:line="277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69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284" w:hRule="exact"/>
        </w:trPr>
        <w:tc>
          <w:tcPr>
            <w:tcW w:w="4671" w:type="dxa"/>
            <w:tcBorders>
              <w:top w:val="single" w:sz="4" w:space="0" w:color="000001"/>
              <w:left w:val="single" w:sz="4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lineRule="exact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69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288" w:hRule="exact"/>
        </w:trPr>
        <w:tc>
          <w:tcPr>
            <w:tcW w:w="4671" w:type="dxa"/>
            <w:tcBorders>
              <w:top w:val="single" w:sz="4" w:space="0" w:color="000001"/>
              <w:left w:val="single" w:sz="4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lineRule="exact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Контактный телефон</w:t>
            </w:r>
          </w:p>
        </w:tc>
        <w:tc>
          <w:tcPr>
            <w:tcW w:w="469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295" w:hRule="exact"/>
        </w:trPr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lineRule="exact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Адрес электронной почты</w:t>
            </w:r>
          </w:p>
        </w:tc>
        <w:tc>
          <w:tcPr>
            <w:tcW w:w="4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2. Общие сведения о проекте нормативно правового акта</w:t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 xml:space="preserve">  </w:t>
      </w: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Постановление администрации Ровеньского района «</w:t>
      </w: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Об утверждении</w:t>
      </w: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 xml:space="preserve"> административн</w:t>
      </w: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ого</w:t>
      </w: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 xml:space="preserve"> регламент</w:t>
      </w: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 xml:space="preserve"> предоставления муниципальной услуги «</w:t>
      </w: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 xml:space="preserve"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 на территории </w:t>
      </w: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Ровеньск</w:t>
      </w: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ого</w:t>
      </w: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 xml:space="preserve"> район</w:t>
      </w: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а</w:t>
      </w: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»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( наименование проекта нормативно правового акта  администрации Ровеньского района)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1. Оказывают ли положения нормативного правового акта влияние на конкуренцию на рынках товаров, работ, услуг Ровеньского района?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3. 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4. На каких рынках товаров, работ, услуг ухудшилось/может ухудшиться состояние конкурентной среды в результате применения нормативного правового акта?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5.Какие положения антимонопольного законодательства нарушены/могут быть нарушены?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6. Какие возможны негативные последствия для конкуренции в случае принятия проекта нормативного правового акта?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7. Ваши замечания и предложения по проекту нормативно правовому акта в целях учета требований антимонопольного законодательства:____________________________________</w:t>
      </w:r>
    </w:p>
    <w:p>
      <w:pPr>
        <w:sectPr>
          <w:type w:val="nextPage"/>
          <w:pgSz w:w="11906" w:h="16838"/>
          <w:pgMar w:left="1620" w:right="850" w:header="0" w:top="899" w:footer="0" w:bottom="539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__________________________________________________________________________</w:t>
      </w:r>
    </w:p>
    <w:p>
      <w:pPr>
        <w:pStyle w:val="Normal"/>
        <w:spacing w:lineRule="auto" w:line="240" w:before="0" w:after="0"/>
        <w:rPr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Замечания и предложения принимаются по адресу: Белгородская область, п. Ровеньки, пер. Советский, 1, также по адресу электронной почты: 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Architectura</w:t>
      </w:r>
      <w:r>
        <w:rPr>
          <w:rFonts w:cs="Times New Roman" w:ascii="Times New Roman" w:hAnsi="Times New Roman"/>
          <w:sz w:val="24"/>
          <w:szCs w:val="24"/>
          <w:u w:val="single"/>
        </w:rPr>
        <w:t>2016@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yandex</w:t>
      </w:r>
      <w:r>
        <w:rPr>
          <w:rFonts w:cs="Times New Roman" w:ascii="Times New Roman" w:hAnsi="Times New Roman"/>
          <w:sz w:val="24"/>
          <w:szCs w:val="24"/>
          <w:u w:val="single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ru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</w:rPr>
        <w:t>Сроки приема предложений и замечаний: с 30.03.2022 года по 08.04.2022 года.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 Unicode MS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5">
    <w:name w:val="Body Text"/>
    <w:basedOn w:val="Normal"/>
    <w:pPr>
      <w:spacing w:before="0" w:after="140"/>
    </w:pPr>
    <w:rPr/>
  </w:style>
  <w:style w:type="paragraph" w:styleId="Style16">
    <w:name w:val="List"/>
    <w:basedOn w:val="Style15"/>
    <w:pPr/>
    <w:rPr>
      <w:rFonts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Droid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LibreOffice/6.2.4.2$Windows_x86 LibreOffice_project/2412653d852ce75f65fbfa83fb7e7b669a126d64</Application>
  <Pages>2</Pages>
  <Words>270</Words>
  <Characters>3009</Characters>
  <CharactersWithSpaces>3252</CharactersWithSpaces>
  <Paragraphs>31</Paragraphs>
  <Company>ROVENKI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2019-09-04T07:30:00Z</dcterms:created>
  <dc:creator>Александр И. Удовидченко</dc:creator>
  <dc:description/>
  <dc:language>ru-RU</dc:language>
  <cp:lastModifiedBy/>
  <dcterms:modified xsi:type="dcterms:W3CDTF">2023-05-02T11:24:25Z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