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 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31:24:0706007:46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2000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Нагорье,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 земельным  участком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 Дворникову Анну Ивановну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,    года рождения,  паспорт гражданина Российской Федерации серия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года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00"/>
          <w:lang w:val="ru-RU" w:bidi="ar-SA" w:eastAsia="zh-CN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 СНИЛС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проживающего по адрес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/>
          <w:sz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Cs w:val="false"/>
          <w:iCs w:val="false"/>
          <w:sz w:val="28"/>
          <w:szCs w:val="28"/>
          <w:highlight w:val="white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Дворниковой Анны Ивановны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  недвижимости подтверждается 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№546437-267/2014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17 ноября 2014 года Дворникова Александра Григорьевича (письмо от 14 декабря 2023 года №802,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Дворниковой Анне  Ивановне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2024-01-09T12:11:27Z</dcterms:modified>
</cp:coreProperties>
</file>