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right"/>
      </w:pPr>
      <w:r>
        <w:t xml:space="preserve">проект </w:t>
      </w:r>
      <w:r/>
    </w:p>
    <w:p>
      <w:pPr>
        <w:pStyle w:val="625"/>
        <w:jc w:val="center"/>
      </w:pPr>
      <w:r/>
      <w:r/>
    </w:p>
    <w:p>
      <w:pPr>
        <w:pStyle w:val="625"/>
        <w:jc w:val="center"/>
      </w:pPr>
      <w:r/>
      <w:r/>
    </w:p>
    <w:p>
      <w:pPr>
        <w:pStyle w:val="625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625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62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5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6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5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202__г.                                                                 № ______</w:t>
      </w:r>
      <w:r/>
    </w:p>
    <w:p>
      <w:pPr>
        <w:pStyle w:val="62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8"/>
        <w:jc w:val="center"/>
        <w:spacing w:after="0" w:before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6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5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/>
    </w:p>
    <w:p>
      <w:pPr>
        <w:ind w:left="0" w:right="0" w:firstLine="709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b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1. Считать в отношении земельного участка с кадастровым номером 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31:24:0501001:20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,  общей площадью 4100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кв.м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Белгородская область, Ровеньский район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</w:rPr>
        <w:t xml:space="preserve">с. Копанки,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  <w:lang w:val="ru-RU" w:bidi="ar-SA" w:eastAsia="zh-CN"/>
        </w:rPr>
        <w:t xml:space="preserve"> в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качестве правообладателя, владеющего данным  земельным  участком на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 праве собственности  Клименко Людмилу Васильевну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highlight w:val="white"/>
        </w:rPr>
        <w:t xml:space="preserve">,    года рождения,  паспорт гражданина Российской Федерации серия  </w:t>
      </w:r>
      <w:r>
        <w:rPr>
          <w:rFonts w:ascii="Times New Roman" w:hAnsi="Times New Roman"/>
          <w:b w:val="false"/>
          <w:color w:val="000000"/>
          <w:sz w:val="28"/>
          <w:szCs w:val="28"/>
          <w:highlight w:val="white"/>
        </w:rPr>
        <w:t xml:space="preserve">, выдан   года    </w:t>
      </w:r>
      <w:r>
        <w:rPr>
          <w:rFonts w:ascii="Times New Roman" w:hAnsi="Times New Roman"/>
          <w:b w:val="false"/>
          <w:color w:val="000000"/>
          <w:sz w:val="28"/>
          <w:szCs w:val="28"/>
          <w:highlight w:val="white"/>
        </w:rPr>
        <w:t xml:space="preserve">, код </w:t>
      </w:r>
      <w:r>
        <w:rPr>
          <w:rFonts w:ascii="Times New Roman" w:hAnsi="Times New Roman" w:eastAsia="Times New Roman"/>
          <w:b w:val="false"/>
          <w:color w:val="000000"/>
          <w:sz w:val="28"/>
          <w:szCs w:val="28"/>
          <w:highlight w:val="white"/>
          <w:lang w:val="ru-RU" w:bidi="ar-SA" w:eastAsia="zh-CN"/>
        </w:rPr>
        <w:t xml:space="preserve">подразделения:  </w:t>
      </w:r>
      <w:r>
        <w:rPr>
          <w:rFonts w:ascii="Times New Roman" w:hAnsi="Times New Roman" w:eastAsia="Times New Roman"/>
          <w:b w:val="false"/>
          <w:color w:val="000000"/>
          <w:sz w:val="28"/>
          <w:szCs w:val="28"/>
          <w:highlight w:val="white"/>
          <w:shd w:val="clear" w:color="auto" w:fill="FFFF00"/>
          <w:lang w:val="ru-RU" w:bidi="ar-SA" w:eastAsia="zh-CN"/>
        </w:rPr>
        <w:t xml:space="preserve">,</w:t>
      </w:r>
      <w:r>
        <w:rPr>
          <w:rFonts w:ascii="Times New Roman" w:hAnsi="Times New Roman" w:eastAsia="Times New Roman"/>
          <w:b w:val="false"/>
          <w:color w:val="000000"/>
          <w:sz w:val="28"/>
          <w:szCs w:val="28"/>
          <w:highlight w:val="white"/>
          <w:lang w:val="ru-RU" w:bidi="ar-SA" w:eastAsia="zh-CN"/>
        </w:rPr>
        <w:t xml:space="preserve"> СНИЛ</w:t>
      </w:r>
      <w:r>
        <w:rPr>
          <w:rFonts w:ascii="Times New Roman" w:hAnsi="Times New Roman"/>
          <w:b w:val="false"/>
          <w:sz w:val="28"/>
          <w:szCs w:val="28"/>
          <w:highlight w:val="white"/>
          <w:lang w:val="ru-RU" w:bidi="ar-SA" w:eastAsia="zh-CN"/>
        </w:rPr>
        <w:t xml:space="preserve">С </w:t>
      </w:r>
      <w:r>
        <w:rPr>
          <w:rFonts w:ascii="Times New Roman" w:hAnsi="Times New Roman"/>
          <w:b w:val="false"/>
          <w:sz w:val="28"/>
          <w:highlight w:val="white"/>
        </w:rPr>
        <w:t xml:space="preserve"> </w:t>
      </w:r>
      <w:r>
        <w:rPr>
          <w:rFonts w:ascii="Times New Roman" w:hAnsi="Times New Roman"/>
          <w:b w:val="false"/>
          <w:sz w:val="28"/>
          <w:szCs w:val="28"/>
          <w:highlight w:val="white"/>
          <w:lang w:val="ru-RU" w:bidi="ar-SA" w:eastAsia="zh-CN"/>
        </w:rPr>
        <w:t xml:space="preserve">,</w:t>
      </w:r>
      <w:r>
        <w:rPr>
          <w:rFonts w:ascii="Times New Roman" w:hAnsi="Times New Roman" w:eastAsia="Times New Roman"/>
          <w:b w:val="false"/>
          <w:color w:val="000000"/>
          <w:sz w:val="28"/>
          <w:szCs w:val="28"/>
          <w:highlight w:val="white"/>
          <w:shd w:val="clear" w:color="auto" w:fill="FFFFFF" w:themeFill="background1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b w:val="false"/>
          <w:color w:val="000000"/>
          <w:sz w:val="28"/>
          <w:szCs w:val="28"/>
          <w:highlight w:val="white"/>
          <w:lang w:val="ru-RU" w:bidi="ar-SA" w:eastAsia="zh-CN"/>
        </w:rPr>
        <w:t xml:space="preserve">проживающею по адрес</w:t>
      </w:r>
      <w:r>
        <w:rPr>
          <w:rFonts w:ascii="Times New Roman" w:hAnsi="Times New Roman" w:eastAsia="Times New Roman"/>
          <w:b w:val="false"/>
          <w:sz w:val="28"/>
          <w:szCs w:val="28"/>
          <w:highlight w:val="white"/>
          <w:lang w:val="ru-RU" w:bidi="ar-SA" w:eastAsia="zh-CN"/>
        </w:rPr>
        <w:t xml:space="preserve">у</w:t>
      </w:r>
      <w:r>
        <w:rPr>
          <w:rFonts w:ascii="Times New Roman" w:hAnsi="Times New Roman" w:eastAsia="Times New Roman"/>
          <w:b w:val="false"/>
          <w:sz w:val="28"/>
          <w:szCs w:val="28"/>
          <w:highlight w:val="white"/>
          <w:lang w:val="ru-RU" w:bidi="ar-SA" w:eastAsia="zh-CN"/>
        </w:rPr>
        <w:t xml:space="preserve">:</w:t>
      </w:r>
      <w:r>
        <w:rPr>
          <w:rFonts w:ascii="Times New Roman" w:hAnsi="Times New Roman" w:eastAsia="Times New Roman"/>
          <w:b w:val="false"/>
          <w:sz w:val="28"/>
          <w:szCs w:val="28"/>
          <w:highlight w:val="white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b w:val="false"/>
          <w:sz w:val="28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b w:val="false"/>
          <w:sz w:val="28"/>
          <w:szCs w:val="28"/>
          <w:highlight w:val="white"/>
          <w:lang w:val="ru-RU" w:bidi="ar-SA" w:eastAsia="zh-CN"/>
        </w:rPr>
        <w:t xml:space="preserve">. </w:t>
      </w:r>
      <w:r>
        <w:rPr>
          <w:rFonts w:ascii="Times New Roman" w:hAnsi="Times New Roman" w:eastAsia="Times New Roman"/>
          <w:b w:val="false"/>
          <w:sz w:val="28"/>
          <w:highlight w:val="white"/>
          <w:lang w:val="ru-RU" w:bidi="ar-SA" w:eastAsia="zh-CN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FFFFFF" w:themeFill="background1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Клименко Людмилы Васильевны</w:t>
      </w:r>
      <w:r>
        <w:rPr>
          <w:rFonts w:ascii="Times New Roman" w:hAnsi="Times New Roman"/>
          <w:color w:val="000000"/>
          <w:sz w:val="28"/>
          <w:szCs w:val="28"/>
        </w:rPr>
        <w:t xml:space="preserve">, на указанный в пункте 1 настоящего постановления объект  недвижимости подтверждается 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материалами наследственного дела №1960191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-3/2016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 xml:space="preserve">имуществу умершего 09 сентября 2015 года Лозового Василия Васильевича (письмо от 14 декабря 2023 года №803, выданное нотариусом Ровеньского нотариального округа Белгородской области Николаенко Евгенией Александровной) (прилагается)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/>
    </w:p>
    <w:p>
      <w:pPr>
        <w:pStyle w:val="628"/>
        <w:ind w:left="0" w:right="0" w:firstLine="0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недвижимости;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Клименко Людмиле Васильевне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cantSplit w:val="false"/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5"/>
    <w:next w:val="625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5"/>
    <w:next w:val="625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5"/>
    <w:next w:val="625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5"/>
    <w:next w:val="625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5"/>
    <w:next w:val="62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5"/>
    <w:next w:val="625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5"/>
    <w:next w:val="625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5"/>
    <w:next w:val="625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5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5"/>
    <w:next w:val="625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basedOn w:val="625"/>
    <w:next w:val="625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basedOn w:val="625"/>
    <w:next w:val="625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5"/>
    <w:next w:val="625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5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basedOn w:val="625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4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5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6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7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8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9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0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5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basedOn w:val="625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table" w:styleId="6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default="1">
    <w:name w:val="Normal"/>
    <w:next w:val="625"/>
    <w:link w:val="625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character" w:styleId="626">
    <w:name w:val="Основной шрифт абзаца"/>
    <w:next w:val="626"/>
    <w:link w:val="625"/>
  </w:style>
  <w:style w:type="paragraph" w:styleId="627">
    <w:name w:val="Заголовок"/>
    <w:basedOn w:val="625"/>
    <w:next w:val="628"/>
    <w:link w:val="625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8">
    <w:name w:val="Основной текст"/>
    <w:basedOn w:val="625"/>
    <w:next w:val="628"/>
    <w:link w:val="625"/>
    <w:pPr>
      <w:spacing w:lineRule="auto" w:line="276" w:after="140" w:before="0"/>
    </w:pPr>
  </w:style>
  <w:style w:type="paragraph" w:styleId="629">
    <w:name w:val="Список"/>
    <w:basedOn w:val="628"/>
    <w:next w:val="629"/>
    <w:link w:val="625"/>
  </w:style>
  <w:style w:type="paragraph" w:styleId="630">
    <w:name w:val="Название"/>
    <w:basedOn w:val="625"/>
    <w:next w:val="630"/>
    <w:link w:val="625"/>
    <w:rPr>
      <w:i/>
      <w:iCs/>
      <w:sz w:val="24"/>
      <w:szCs w:val="24"/>
    </w:rPr>
    <w:pPr>
      <w:spacing w:after="120" w:before="120"/>
    </w:pPr>
  </w:style>
  <w:style w:type="paragraph" w:styleId="631">
    <w:name w:val="Указатель"/>
    <w:basedOn w:val="625"/>
    <w:next w:val="631"/>
    <w:link w:val="625"/>
  </w:style>
  <w:style w:type="paragraph" w:styleId="632">
    <w:name w:val="Текст выноски"/>
    <w:basedOn w:val="625"/>
    <w:next w:val="632"/>
    <w:link w:val="625"/>
    <w:rPr>
      <w:rFonts w:ascii="Tahoma" w:hAnsi="Tahoma"/>
      <w:sz w:val="16"/>
      <w:szCs w:val="16"/>
    </w:rPr>
  </w:style>
  <w:style w:type="paragraph" w:styleId="633">
    <w:name w:val="ConsPlusNormal"/>
    <w:next w:val="633"/>
    <w:link w:val="625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634">
    <w:name w:val="Содержимое таблицы"/>
    <w:basedOn w:val="625"/>
    <w:next w:val="634"/>
  </w:style>
  <w:style w:type="paragraph" w:styleId="635">
    <w:name w:val="Заголовок таблицы"/>
    <w:basedOn w:val="634"/>
    <w:next w:val="635"/>
    <w:link w:val="625"/>
    <w:rPr>
      <w:b/>
      <w:bCs/>
    </w:rPr>
    <w:pPr>
      <w:jc w:val="center"/>
    </w:pPr>
  </w:style>
  <w:style w:type="paragraph" w:styleId="636">
    <w:name w:val="Нижний колонтитул"/>
    <w:basedOn w:val="625"/>
    <w:next w:val="636"/>
    <w:link w:val="625"/>
    <w:pPr>
      <w:tabs>
        <w:tab w:val="center" w:pos="4677" w:leader="none"/>
        <w:tab w:val="right" w:pos="9354" w:leader="none"/>
      </w:tabs>
    </w:pPr>
  </w:style>
  <w:style w:type="character" w:styleId="637" w:default="1">
    <w:name w:val="Default Paragraph Font"/>
    <w:uiPriority w:val="1"/>
    <w:semiHidden/>
    <w:unhideWhenUsed/>
  </w:style>
  <w:style w:type="numbering" w:styleId="6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modified xsi:type="dcterms:W3CDTF">2024-01-09T11:49:15Z</dcterms:modified>
</cp:coreProperties>
</file>