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     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31:24:0706007:127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1500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Нагорье,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  земельным  участком 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праве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Новомлинскую Юлию Николаевну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   года рождения,  паспорт гражданина Российской Федерации серия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выдан   года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СНИЛС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 w:themeFill="background1"/>
          <w:lang w:val="ru-RU" w:bidi="ar-SA" w:eastAsia="zh-CN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проживающею по адрес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  <w:shd w:val="clear" w:color="auto" w:fill="FFFFFF" w:themeFill="background1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. </w:t>
      </w:r>
      <w:r>
        <w:rPr>
          <w:rFonts w:ascii="Times New Roman" w:hAnsi="Times New Roman" w:eastAsia="Times New Roman"/>
          <w:sz w:val="28"/>
          <w:highlight w:val="white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Новомлинской Юлии Николаевны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указанный в пункте 1 настоящего постановления объекты недвижимости 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материалами наследственного дела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№9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/2013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24 октября 2012 года Ряднова Николая Дмитриевича (письмо от 02 сентября 2023 года №591,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Новомлинской Юлии Николаевне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2024-01-09T12:28:55Z</dcterms:modified>
</cp:coreProperties>
</file>