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ind w:left="0" w:right="0" w:firstLine="0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Извещение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57"/>
        <w:ind w:left="0" w:right="0" w:firstLine="0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предоставлении муниципальной преференции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657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firstLine="708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/>
          <w:sz w:val="28"/>
          <w:szCs w:val="28"/>
        </w:rPr>
        <w:t xml:space="preserve">МКУ «АХС Ровеньского района»</w:t>
      </w:r>
      <w:r>
        <w:rPr>
          <w:rFonts w:ascii="Times New Roman" w:hAnsi="Times New Roman"/>
          <w:b/>
          <w:i/>
          <w:sz w:val="28"/>
          <w:szCs w:val="28"/>
          <w:u w:val="non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извещает о намерении предоставить в соответствии с муниципальной программой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Ровеньского района «Развитие и поддержка малого и среднего предпринимательства, улучшение условий и охраны труда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в Ровеньском районе</w:t>
      </w:r>
      <w:r>
        <w:rPr>
          <w:rFonts w:ascii="Times New Roman" w:hAnsi="Times New Roman"/>
          <w:b w:val="0"/>
          <w:i w:val="0"/>
          <w:sz w:val="28"/>
          <w:szCs w:val="28"/>
          <w:u w:val="none"/>
        </w:rPr>
        <w:t xml:space="preserve">» муниципальную преференцию в целях поддержки субъектов малого и среднего предпринимательства путем предоставления в безвозмездное пользование на срок 5 лет следующего имущества: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tbl>
      <w:tblPr>
        <w:tblW w:w="9621" w:type="dxa"/>
        <w:tblInd w:w="109" w:type="dxa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252"/>
        <w:gridCol w:w="6368"/>
      </w:tblGrid>
      <w:tr>
        <w:tblPrEx/>
        <w:trPr/>
        <w:tc>
          <w:tcPr>
            <w:tcW w:w="3252" w:type="dxa"/>
            <w:textDirection w:val="lrTb"/>
            <w:noWrap w:val="false"/>
          </w:tcPr>
          <w:p>
            <w:pPr>
              <w:pStyle w:val="732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</w:rPr>
              <w:t xml:space="preserve">Наименование имущества, тип транспортного средства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68" w:type="dxa"/>
            <w:textDirection w:val="lrTb"/>
            <w:noWrap w:val="false"/>
          </w:tcPr>
          <w:p>
            <w:pPr>
              <w:pStyle w:val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</w:rPr>
              <w:t xml:space="preserve">Автомагазин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732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</w:rPr>
              <w:t xml:space="preserve">Марка/ модель: Фургон-автомагазин на шасси ГАЗ-А21R33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252" w:type="dxa"/>
            <w:textDirection w:val="lrTb"/>
            <w:noWrap w:val="false"/>
          </w:tcPr>
          <w:p>
            <w:pPr>
              <w:pStyle w:val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</w:rPr>
              <w:t xml:space="preserve">Государственный регистрационный знак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68" w:type="dxa"/>
            <w:textDirection w:val="lrTb"/>
            <w:noWrap w:val="false"/>
          </w:tcPr>
          <w:p>
            <w:pPr>
              <w:pStyle w:val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Х394НТ31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252" w:type="dxa"/>
            <w:textDirection w:val="lrTb"/>
            <w:noWrap w:val="false"/>
          </w:tcPr>
          <w:p>
            <w:pPr>
              <w:pStyle w:val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</w:rPr>
              <w:t xml:space="preserve">VIN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68" w:type="dxa"/>
            <w:textDirection w:val="lrTb"/>
            <w:noWrap w:val="false"/>
          </w:tcPr>
          <w:p>
            <w:pPr>
              <w:pStyle w:val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Х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J73008GERM010072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252" w:type="dxa"/>
            <w:textDirection w:val="lrTb"/>
            <w:noWrap w:val="false"/>
          </w:tcPr>
          <w:p>
            <w:pPr>
              <w:pStyle w:val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</w:rPr>
              <w:t xml:space="preserve">Шасси (рама) №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68" w:type="dxa"/>
            <w:textDirection w:val="lrTb"/>
            <w:noWrap w:val="false"/>
          </w:tcPr>
          <w:p>
            <w:pPr>
              <w:pStyle w:val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Х96А21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R33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Р2909250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252" w:type="dxa"/>
            <w:textDirection w:val="lrTb"/>
            <w:noWrap w:val="false"/>
          </w:tcPr>
          <w:p>
            <w:pPr>
              <w:pStyle w:val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</w:rPr>
              <w:t xml:space="preserve">Кузов №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68" w:type="dxa"/>
            <w:textDirection w:val="lrTb"/>
            <w:noWrap w:val="false"/>
          </w:tcPr>
          <w:p>
            <w:pPr>
              <w:pStyle w:val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А21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R22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Р0192569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252" w:type="dxa"/>
            <w:textDirection w:val="lrTb"/>
            <w:noWrap w:val="false"/>
          </w:tcPr>
          <w:p>
            <w:pPr>
              <w:pStyle w:val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</w:rPr>
              <w:t xml:space="preserve">Модель и № двигателя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68" w:type="dxa"/>
            <w:textDirection w:val="lrTb"/>
            <w:noWrap w:val="false"/>
          </w:tcPr>
          <w:p>
            <w:pPr>
              <w:pStyle w:val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А27500Р0903331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252" w:type="dxa"/>
            <w:textDirection w:val="lrTb"/>
            <w:noWrap w:val="false"/>
          </w:tcPr>
          <w:p>
            <w:pPr>
              <w:pStyle w:val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</w:rPr>
              <w:t xml:space="preserve">Цвет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68" w:type="dxa"/>
            <w:textDirection w:val="lrTb"/>
            <w:noWrap w:val="false"/>
          </w:tcPr>
          <w:p>
            <w:pPr>
              <w:pStyle w:val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</w:rPr>
              <w:t xml:space="preserve">БЕЛЫЙ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3252" w:type="dxa"/>
            <w:textDirection w:val="lrTb"/>
            <w:noWrap w:val="false"/>
          </w:tcPr>
          <w:p>
            <w:pPr>
              <w:pStyle w:val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</w:rPr>
              <w:t xml:space="preserve">Год выпуска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68" w:type="dxa"/>
            <w:textDirection w:val="lrTb"/>
            <w:noWrap w:val="false"/>
          </w:tcPr>
          <w:p>
            <w:pPr>
              <w:pStyle w:val="73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</w:rPr>
              <w:t xml:space="preserve">2023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57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предоставления имущества в безвозмездное пользование - организация торгового обслуживания по средствам выездной торговли в малочисленных сельских населенных пунктах</w:t>
      </w:r>
      <w:r>
        <w:rPr>
          <w:rFonts w:ascii="Times New Roman" w:hAnsi="Times New Roman"/>
          <w:sz w:val="28"/>
          <w:szCs w:val="24"/>
        </w:rPr>
        <w:t xml:space="preserve">, не имеющих стационарных торговых объектов.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Условия безвозмездного пользования определены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прилагаем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ом </w:t>
      </w: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</w:t>
      </w:r>
      <w:r>
        <w:rPr>
          <w:rFonts w:ascii="Times New Roman" w:hAnsi="Times New Roman"/>
          <w:sz w:val="28"/>
          <w:szCs w:val="28"/>
        </w:rPr>
        <w:t xml:space="preserve"> договора безвозмездного пользования.</w:t>
      </w:r>
      <w:r/>
    </w:p>
    <w:p>
      <w:pPr>
        <w:pStyle w:val="657"/>
        <w:ind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Заявитель, претендующий на получение муниципальной преференции (далее - заявитель), должен отвечать следующим требованиям:</w:t>
      </w:r>
      <w:r/>
    </w:p>
    <w:p>
      <w:pPr>
        <w:pStyle w:val="657"/>
        <w:ind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1) быть субъектом малого и среднего предпринимательства, зарегистрированны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и осуществляющ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им</w:t>
      </w:r>
      <w:r>
        <w:rPr>
          <w:rFonts w:ascii="Times New Roman" w:hAnsi="Times New Roman"/>
          <w:sz w:val="28"/>
          <w:szCs w:val="28"/>
        </w:rPr>
        <w:t xml:space="preserve"> деятельность на территории Белгородской области;</w:t>
      </w:r>
      <w:r/>
    </w:p>
    <w:p>
      <w:pPr>
        <w:pStyle w:val="657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) заявитель - юридическое лицо не должно находиться в процессе реорганизации, ликвидации, в отношении него не введена процедура банкротства;</w:t>
      </w:r>
      <w:r/>
    </w:p>
    <w:p>
      <w:pPr>
        <w:pStyle w:val="657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) деятельность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 </w:t>
      </w:r>
      <w:r>
        <w:rPr>
          <w:rFonts w:ascii="Times New Roman" w:hAnsi="Times New Roman"/>
          <w:sz w:val="28"/>
          <w:szCs w:val="28"/>
        </w:rPr>
        <w:t xml:space="preserve">не приостановлена в порядке, предусмотренном законодательством Российской Федерации;</w:t>
      </w:r>
      <w:r/>
    </w:p>
    <w:p>
      <w:pPr>
        <w:pStyle w:val="657"/>
        <w:ind w:firstLine="709"/>
        <w:jc w:val="both"/>
        <w:spacing w:before="0" w:after="0" w:line="240" w:lineRule="auto"/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) </w:t>
      </w:r>
      <w:bookmarkStart w:id="0" w:name="__DdeLink__186_3904629729"/>
      <w:r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 на дату подачи заявления</w:t>
      </w:r>
      <w:bookmarkEnd w:id="0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Федерации;</w:t>
      </w:r>
      <w:r/>
    </w:p>
    <w:p>
      <w:pPr>
        <w:pStyle w:val="733"/>
        <w:contextualSpacing/>
        <w:ind w:left="0" w:firstLine="720"/>
        <w:jc w:val="both"/>
        <w:spacing w:before="0" w:after="0"/>
      </w:pPr>
      <w:r>
        <w:rPr>
          <w:rFonts w:eastAsia="Calibri" w:eastAsiaTheme="minorHAnsi"/>
          <w:sz w:val="28"/>
          <w:szCs w:val="28"/>
          <w:lang w:eastAsia="en-US"/>
        </w:rPr>
        <w:t xml:space="preserve">5</w:t>
      </w:r>
      <w:r>
        <w:rPr>
          <w:szCs w:val="28"/>
        </w:rPr>
        <w:t xml:space="preserve">) </w:t>
      </w:r>
      <w:r>
        <w:rPr>
          <w:sz w:val="28"/>
          <w:szCs w:val="28"/>
        </w:rPr>
        <w:t xml:space="preserve">у </w:t>
      </w:r>
      <w:r>
        <w:rPr>
          <w:rFonts w:eastAsia="Times New Roman"/>
          <w:sz w:val="28"/>
          <w:szCs w:val="28"/>
          <w:lang w:eastAsia="ru-RU"/>
        </w:rPr>
        <w:t xml:space="preserve">заявителя на дату подачи заявления </w:t>
      </w:r>
      <w:r>
        <w:rPr>
          <w:szCs w:val="28"/>
        </w:rPr>
        <w:t xml:space="preserve">отсутствует просроченная задолженность по возврату в бюджет </w:t>
      </w:r>
      <w:bookmarkStart w:id="1" w:name="__DdeLink__188_3904629729"/>
      <w:r>
        <w:rPr>
          <w:szCs w:val="28"/>
        </w:rPr>
        <w:t xml:space="preserve">муниципального образования </w:t>
      </w:r>
      <w:bookmarkEnd w:id="1"/>
      <w:r>
        <w:rPr>
          <w:szCs w:val="28"/>
        </w:rPr>
        <w:t xml:space="preserve">субсидий, бюджетных инвестиций и ин</w:t>
      </w:r>
      <w:r>
        <w:rPr>
          <w:rFonts w:eastAsia="Calibri" w:eastAsiaTheme="minorHAnsi"/>
          <w:sz w:val="28"/>
          <w:szCs w:val="28"/>
          <w:lang w:eastAsia="en-US"/>
        </w:rPr>
        <w:t xml:space="preserve">ая</w:t>
      </w:r>
      <w:r>
        <w:rPr>
          <w:szCs w:val="28"/>
        </w:rPr>
        <w:t xml:space="preserve"> просроченн</w:t>
      </w:r>
      <w:r>
        <w:rPr>
          <w:rFonts w:eastAsia="Calibri" w:eastAsiaTheme="minorHAnsi"/>
          <w:sz w:val="28"/>
          <w:szCs w:val="28"/>
          <w:lang w:eastAsia="en-US"/>
        </w:rPr>
        <w:t xml:space="preserve">ая</w:t>
      </w:r>
      <w:r>
        <w:rPr>
          <w:szCs w:val="28"/>
        </w:rPr>
        <w:t xml:space="preserve"> задолженност</w:t>
      </w:r>
      <w:r>
        <w:rPr>
          <w:rFonts w:eastAsia="Calibri" w:eastAsiaTheme="minorHAnsi"/>
          <w:sz w:val="28"/>
          <w:szCs w:val="28"/>
          <w:lang w:eastAsia="en-US"/>
        </w:rPr>
        <w:t xml:space="preserve">ь</w:t>
      </w:r>
      <w:r>
        <w:rPr>
          <w:szCs w:val="28"/>
        </w:rPr>
        <w:t xml:space="preserve"> перед бюджетом муниципального образования;</w:t>
      </w:r>
      <w:r/>
    </w:p>
    <w:p>
      <w:pPr>
        <w:pStyle w:val="657"/>
        <w:ind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заявитель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2" w:name="__DdeLink__190_3904629729"/>
      <w:r/>
      <w:bookmarkStart w:id="3" w:name="__DdeLink__204_3904629729"/>
      <w:r>
        <w:rPr>
          <w:rFonts w:ascii="Times New Roman" w:hAnsi="Times New Roman"/>
          <w:sz w:val="28"/>
          <w:szCs w:val="28"/>
        </w:rPr>
        <w:t xml:space="preserve">не должен являться</w:t>
      </w:r>
      <w:bookmarkEnd w:id="3"/>
      <w:r>
        <w:rPr>
          <w:rFonts w:ascii="Times New Roman" w:hAnsi="Times New Roman"/>
          <w:sz w:val="28"/>
          <w:szCs w:val="28"/>
        </w:rPr>
        <w:t xml:space="preserve"> иностранным юридическим лицом или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иностранным гражданином</w:t>
      </w:r>
      <w:r>
        <w:rPr>
          <w:rFonts w:ascii="Times New Roman" w:hAnsi="Times New Roman"/>
          <w:sz w:val="28"/>
          <w:szCs w:val="28"/>
        </w:rPr>
        <w:t xml:space="preserve">, лицом без гражданства, а также не должен являться российским юридическим лицом, в уставном (складочном) капитале котор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присутствует доля участия иностранных юридических</w:t>
      </w:r>
      <w:bookmarkEnd w:id="2"/>
      <w:r>
        <w:rPr>
          <w:rFonts w:ascii="Times New Roman" w:hAnsi="Times New Roman"/>
          <w:sz w:val="28"/>
          <w:szCs w:val="28"/>
        </w:rPr>
        <w:t xml:space="preserve"> лиц, иностранных граждан, лиц без гражданства;</w:t>
      </w:r>
      <w:r/>
    </w:p>
    <w:p>
      <w:pPr>
        <w:pStyle w:val="657"/>
        <w:ind w:firstLine="709"/>
        <w:jc w:val="both"/>
        <w:spacing w:before="0" w:after="0" w:line="240" w:lineRule="auto"/>
        <w:shd w:val="clear" w:color="auto" w:fill="ffffff"/>
      </w:pPr>
      <w:r>
        <w:rPr>
          <w:rFonts w:ascii="Times New Roman" w:hAnsi="Times New Roman"/>
          <w:sz w:val="28"/>
          <w:szCs w:val="28"/>
        </w:rPr>
        <w:t xml:space="preserve">7) в реестре дисквалифицированных лиц отсутствуют сведения о дисквалифицированных </w:t>
      </w:r>
      <w:bookmarkStart w:id="4" w:name="__DdeLink__192_3904629729"/>
      <w:r>
        <w:rPr>
          <w:rFonts w:ascii="Times New Roman" w:hAnsi="Times New Roman"/>
          <w:sz w:val="28"/>
          <w:szCs w:val="28"/>
        </w:rPr>
        <w:t xml:space="preserve">руководителях,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заявителя-</w:t>
      </w:r>
      <w:r>
        <w:rPr>
          <w:rFonts w:ascii="Times New Roman" w:hAnsi="Times New Roman"/>
          <w:sz w:val="28"/>
          <w:szCs w:val="28"/>
        </w:rPr>
        <w:t xml:space="preserve"> юридического лиц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bookmarkEnd w:id="4"/>
      <w:r>
        <w:rPr>
          <w:rFonts w:ascii="Times New Roman" w:hAnsi="Times New Roman"/>
          <w:sz w:val="28"/>
          <w:szCs w:val="28"/>
        </w:rPr>
        <w:t xml:space="preserve">, о дисквалифицированном заявителе -  индивидуальном предпринимателе;</w:t>
      </w:r>
      <w:r/>
    </w:p>
    <w:p>
      <w:pPr>
        <w:pStyle w:val="657"/>
        <w:ind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8) заявитель ранее не признавался допустившим нарушение порядка и условий оказания муниципальной поддержки (предоставления муниципальной преференции);</w:t>
      </w:r>
      <w:r/>
    </w:p>
    <w:p>
      <w:pPr>
        <w:pStyle w:val="657"/>
        <w:ind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9) заявитель не находится в реестре недобросовестных поставщиков (подрядчиков, исполнителей) в связи с отказом от исполнения государственных (муниципальных) контрактов о поставке товаров, выполнении работ, оказании услуг;</w:t>
      </w:r>
      <w:r/>
    </w:p>
    <w:p>
      <w:pPr>
        <w:pStyle w:val="657"/>
        <w:ind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10) </w:t>
      </w:r>
      <w:bookmarkStart w:id="5" w:name="__DdeLink__198_3904629729"/>
      <w:r>
        <w:rPr>
          <w:rFonts w:ascii="Times New Roman" w:hAnsi="Times New Roman"/>
          <w:sz w:val="28"/>
          <w:szCs w:val="28"/>
        </w:rPr>
        <w:t xml:space="preserve">заявитель - индивидуальный предприниматель</w:t>
      </w:r>
      <w:bookmarkEnd w:id="5"/>
      <w:r>
        <w:rPr>
          <w:rFonts w:ascii="Times New Roman" w:hAnsi="Times New Roman"/>
          <w:sz w:val="28"/>
          <w:szCs w:val="28"/>
        </w:rPr>
        <w:t xml:space="preserve"> </w:t>
      </w:r>
      <w:bookmarkStart w:id="6" w:name="__DdeLink__409_2329653683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имеет судимости</w:t>
      </w:r>
      <w:bookmarkEnd w:id="6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фактов уголовного преследования,</w:t>
      </w:r>
      <w:r>
        <w:rPr>
          <w:rFonts w:ascii="Times New Roman" w:hAnsi="Times New Roman"/>
          <w:sz w:val="28"/>
          <w:szCs w:val="28"/>
        </w:rPr>
        <w:t xml:space="preserve"> р</w:t>
      </w:r>
      <w:bookmarkStart w:id="7" w:name="__DdeLink__202_3904629729"/>
      <w:r>
        <w:rPr>
          <w:rFonts w:ascii="Times New Roman" w:hAnsi="Times New Roman"/>
          <w:sz w:val="28"/>
          <w:szCs w:val="28"/>
        </w:rPr>
        <w:t xml:space="preserve">уководител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ь (лицо, осуществляющее функции единоличного исполнительного органа)</w:t>
      </w:r>
      <w:r>
        <w:rPr>
          <w:rFonts w:ascii="Times New Roman" w:hAnsi="Times New Roman"/>
          <w:sz w:val="28"/>
          <w:szCs w:val="28"/>
        </w:rPr>
        <w:t xml:space="preserve">, физические лица - учредители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заявителя -</w:t>
      </w:r>
      <w:r>
        <w:rPr>
          <w:rFonts w:ascii="Times New Roman" w:hAnsi="Times New Roman"/>
          <w:sz w:val="28"/>
          <w:szCs w:val="28"/>
        </w:rPr>
        <w:t xml:space="preserve"> юридического лиц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а</w:t>
      </w:r>
      <w:bookmarkEnd w:id="7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bookmarkStart w:id="8" w:name="__DdeLink__196_3904629729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 имеют судимости</w:t>
      </w:r>
      <w:bookmarkEnd w:id="8"/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фактов уголовного преследования</w:t>
      </w:r>
      <w:r>
        <w:rPr>
          <w:rFonts w:ascii="Times New Roman" w:hAnsi="Times New Roman"/>
          <w:sz w:val="28"/>
          <w:szCs w:val="28"/>
        </w:rPr>
        <w:t xml:space="preserve">;</w:t>
      </w:r>
      <w:r/>
    </w:p>
    <w:p>
      <w:pPr>
        <w:pStyle w:val="657"/>
        <w:ind w:firstLine="709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11) заявитель не включен в </w:t>
      </w:r>
      <w:bookmarkStart w:id="9" w:name="__DdeLink__411_2329653683"/>
      <w:r/>
      <w:bookmarkStart w:id="10" w:name="__DdeLink__194_3904629729"/>
      <w:r>
        <w:rPr>
          <w:rFonts w:ascii="Times New Roman" w:hAnsi="Times New Roman"/>
          <w:sz w:val="28"/>
          <w:szCs w:val="28"/>
        </w:rPr>
        <w:t xml:space="preserve">перечень организаций и физических лиц, в отношении которых имеются сведения об их причастности к экстремистской деятельности или терроризму</w:t>
      </w:r>
      <w:bookmarkEnd w:id="9"/>
      <w:r>
        <w:rPr>
          <w:rFonts w:ascii="Times New Roman" w:hAnsi="Times New Roman"/>
          <w:sz w:val="28"/>
          <w:szCs w:val="28"/>
        </w:rPr>
        <w:t xml:space="preserve">, либо в перечень организаций или физических лиц, в отношении которых имеются сведения об их причастности к распространению оружия.</w:t>
      </w:r>
      <w:bookmarkEnd w:id="10"/>
      <w:r/>
      <w:r/>
    </w:p>
    <w:p>
      <w:pPr>
        <w:pStyle w:val="657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ab/>
        <w:t xml:space="preserve">Для получения имущест</w:t>
      </w:r>
      <w:r>
        <w:rPr>
          <w:rFonts w:ascii="Times New Roman" w:hAnsi="Times New Roman"/>
          <w:sz w:val="28"/>
          <w:szCs w:val="28"/>
        </w:rPr>
        <w:t xml:space="preserve">венной поддержки (муниципальной преференции) в виде передачи имущества – автомагазина в безвозмездное пользование без проведения торгов субъект малого и среднего предпринимательства направляет заявление по установленной форме (форма заявления прилагается).</w:t>
      </w:r>
      <w:r/>
    </w:p>
    <w:p>
      <w:pPr>
        <w:pStyle w:val="657"/>
        <w:ind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К заявлению прилагаются следующие документы:</w:t>
      </w:r>
      <w:r/>
    </w:p>
    <w:p>
      <w:pPr>
        <w:pStyle w:val="657"/>
        <w:ind w:lef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- надлежаще заверенные копии учредительных документов заявителя – юридического лица;</w:t>
      </w:r>
      <w:r/>
    </w:p>
    <w:p>
      <w:pPr>
        <w:pStyle w:val="657"/>
        <w:ind w:lef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- документы, подтверждающие полномочия руководителя или иного лица, подписавшего заявление, на осуществление действий от имени заявителя – юридического лица;</w:t>
      </w:r>
      <w:r/>
    </w:p>
    <w:p>
      <w:pPr>
        <w:pStyle w:val="657"/>
        <w:ind w:lef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- надлежаще заверенная копия документа, удостоверяющего личность заявителя – физического лица, зарегистрированного в качестве индивидуального предпринимателя;</w:t>
      </w:r>
      <w:r/>
    </w:p>
    <w:p>
      <w:pPr>
        <w:pStyle w:val="657"/>
        <w:ind w:left="0" w:firstLine="708"/>
        <w:jc w:val="both"/>
        <w:spacing w:before="0" w:after="0" w:line="240" w:lineRule="auto"/>
      </w:pPr>
      <w:r>
        <w:rPr>
          <w:rFonts w:ascii="Times New Roman" w:hAnsi="Times New Roman"/>
          <w:sz w:val="28"/>
          <w:szCs w:val="28"/>
        </w:rPr>
        <w:t xml:space="preserve">-  спр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 xml:space="preserve">авка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 , штрафов, процентов;</w:t>
      </w:r>
      <w:r/>
    </w:p>
    <w:p>
      <w:pPr>
        <w:pStyle w:val="657"/>
        <w:ind w:left="0" w:firstLine="708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</w:pPr>
      <w:r/>
      <w:bookmarkStart w:id="11" w:name="__DdeLink__200_3904629729"/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 xml:space="preserve">- справка об отсутствии (наличии) судимости</w:t>
      </w:r>
      <w:bookmarkEnd w:id="11"/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 xml:space="preserve"> заявителя и (или)  факта уголовного преследования либо о прекращении уголовного преследования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 xml:space="preserve">в отношении заявителя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 xml:space="preserve">- индивидуальн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 xml:space="preserve">ого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 xml:space="preserve"> предпринимателя;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</w:r>
    </w:p>
    <w:p>
      <w:pPr>
        <w:pStyle w:val="657"/>
        <w:ind w:left="0" w:firstLine="708"/>
        <w:jc w:val="both"/>
        <w:spacing w:before="0" w:after="0" w:line="240" w:lineRule="auto"/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 xml:space="preserve">- справки об отсутствии (наличии) судимости и (или) факта уголовного преследования либо о прекращении уголовного преследования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 xml:space="preserve">в отношении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 xml:space="preserve"> руководителя (лица, осуществляющее функции единоличного исполнительного органа), физических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лиц-учредителей  для заявителя - юридического лица.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57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предоставлении муниципальной преференции отказывается: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если заявление и прилагаемые документы не соответствуют требованиям настоящего извещения;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если заявитель не является лицом, которому в соответствии с настоящим извещением и иными нормативными правовыми актами может быть предоставлена муниципальная преференция;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если по результатам рассмотрения ранее поступившего от другого заявителя заявления о предоставлении муниципальной преференции принято решение о соответствии подавшего такое заявление заявителя и указанного заявления установленным требованиям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для предоставления муниципальной преференции.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Заявлени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е</w:t>
      </w:r>
      <w:r>
        <w:rPr>
          <w:rFonts w:ascii="Times New Roman" w:hAnsi="Times New Roman"/>
          <w:sz w:val="28"/>
          <w:szCs w:val="24"/>
        </w:rPr>
        <w:t xml:space="preserve">, оформленн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ое</w:t>
      </w:r>
      <w:r>
        <w:rPr>
          <w:rFonts w:ascii="Times New Roman" w:hAnsi="Times New Roman"/>
          <w:sz w:val="28"/>
          <w:szCs w:val="24"/>
        </w:rPr>
        <w:t xml:space="preserve"> по </w:t>
      </w:r>
      <w:r>
        <w:rPr>
          <w:rFonts w:ascii="Times New Roman" w:hAnsi="Times New Roman" w:eastAsia="Times New Roman"/>
          <w:sz w:val="28"/>
          <w:szCs w:val="24"/>
          <w:lang w:eastAsia="ru-RU"/>
        </w:rPr>
        <w:t xml:space="preserve">прилагаемой</w:t>
      </w:r>
      <w:r>
        <w:rPr>
          <w:rFonts w:ascii="Times New Roman" w:hAnsi="Times New Roman"/>
          <w:sz w:val="28"/>
          <w:szCs w:val="24"/>
        </w:rPr>
        <w:t xml:space="preserve"> форме, и прилагаемые к нему документы подаются в </w:t>
      </w:r>
      <w:r>
        <w:rPr>
          <w:rFonts w:ascii="Times New Roman" w:hAnsi="Times New Roman"/>
          <w:sz w:val="28"/>
          <w:szCs w:val="24"/>
          <w:highlight w:val="none"/>
        </w:rPr>
        <w:t xml:space="preserve">МКУ «АХС Ровеньского района»</w:t>
      </w:r>
      <w:r>
        <w:rPr>
          <w:rFonts w:ascii="Times New Roman" w:hAnsi="Times New Roman"/>
          <w:sz w:val="28"/>
          <w:szCs w:val="24"/>
          <w:highlight w:val="none"/>
        </w:rPr>
        <w:t xml:space="preserve"> по адресу: Белгородская область, п.Ровеньки, ул.Ленина, д.52, 2 этаж, ответственное лицо – </w:t>
      </w:r>
      <w:r>
        <w:rPr>
          <w:rFonts w:ascii="Times New Roman" w:hAnsi="Times New Roman"/>
          <w:sz w:val="28"/>
          <w:szCs w:val="24"/>
          <w:highlight w:val="none"/>
        </w:rPr>
        <w:t xml:space="preserve">Письменная Марина Ивановна</w:t>
      </w:r>
      <w:r>
        <w:rPr>
          <w:rFonts w:ascii="Times New Roman" w:hAnsi="Times New Roman"/>
          <w:sz w:val="28"/>
          <w:szCs w:val="16"/>
          <w:highlight w:val="none"/>
        </w:rPr>
        <w:t xml:space="preserve">, телефон 8(47238)5-50-25</w:t>
      </w:r>
      <w:r>
        <w:rPr>
          <w:rFonts w:ascii="Times New Roman" w:hAnsi="Times New Roman"/>
          <w:sz w:val="28"/>
          <w:szCs w:val="16"/>
        </w:rPr>
        <w:t xml:space="preserve">, </w:t>
      </w:r>
      <w:r>
        <w:rPr>
          <w:rFonts w:ascii="Times New Roman" w:hAnsi="Times New Roman"/>
          <w:sz w:val="28"/>
          <w:szCs w:val="24"/>
        </w:rPr>
        <w:t xml:space="preserve">в рабочие дни с 8 часов 00 минут до 17 часов 00 минут (перерыв с 12 часов 00 минут до 13 часов 00 минут).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подачи заявлений с «31» марта 2025 г. по «29» </w:t>
      </w:r>
      <w:r>
        <w:rPr>
          <w:rFonts w:ascii="Times New Roman" w:hAnsi="Times New Roman"/>
          <w:sz w:val="28"/>
          <w:szCs w:val="28"/>
        </w:rPr>
        <w:t xml:space="preserve">апре</w:t>
      </w:r>
      <w:r>
        <w:rPr>
          <w:rFonts w:ascii="Times New Roman" w:hAnsi="Times New Roman"/>
          <w:sz w:val="28"/>
          <w:szCs w:val="28"/>
        </w:rPr>
        <w:t xml:space="preserve">ля 2025 г. включительно.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согласования времени и места осмотра имущества  заинтересованное лицо может обращаться по тел:</w:t>
      </w:r>
      <w:r>
        <w:rPr>
          <w:rFonts w:ascii="Times New Roman" w:hAnsi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sz w:val="28"/>
          <w:szCs w:val="28"/>
          <w:highlight w:val="none"/>
        </w:rPr>
        <w:t xml:space="preserve">8(47238)5-50-25.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left="0" w:firstLine="0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left="0" w:firstLine="0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1.Про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ru-RU" w:eastAsia="ru-RU" w:bidi="ar-SA"/>
        </w:rPr>
        <w:t xml:space="preserve">ек</w:t>
      </w:r>
      <w:r>
        <w:rPr>
          <w:rFonts w:ascii="Times New Roman" w:hAnsi="Times New Roman"/>
          <w:sz w:val="28"/>
          <w:szCs w:val="28"/>
        </w:rPr>
        <w:t xml:space="preserve">т договора безвозмездного пользования на 5 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left="0" w:firstLine="0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Форма заявления о предоставлении муниципальной </w:t>
      </w:r>
      <w:r>
        <w:rPr>
          <w:rFonts w:ascii="Times New Roman" w:hAnsi="Times New Roman"/>
          <w:sz w:val="28"/>
          <w:szCs w:val="28"/>
        </w:rPr>
        <w:t xml:space="preserve">преференции на 3 л.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left="0" w:firstLine="708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57"/>
        <w:ind w:left="0" w:firstLine="708"/>
        <w:jc w:val="both"/>
        <w:spacing w:before="0"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</w:r>
      <w:r>
        <w:rPr>
          <w:rFonts w:ascii="Times New Roman" w:hAnsi="Times New Roman"/>
          <w:b/>
          <w:bCs/>
          <w:i/>
          <w:iCs/>
          <w:sz w:val="28"/>
          <w:szCs w:val="28"/>
        </w:rPr>
      </w:r>
      <w:r>
        <w:rPr>
          <w:rFonts w:ascii="Times New Roman" w:hAnsi="Times New Roman"/>
          <w:b/>
          <w:bCs/>
          <w:i/>
          <w:iCs/>
          <w:sz w:val="28"/>
          <w:szCs w:val="28"/>
        </w:rPr>
      </w:r>
    </w:p>
    <w:p>
      <w:pPr>
        <w:pStyle w:val="657"/>
        <w:ind w:left="0" w:firstLine="708"/>
        <w:jc w:val="both"/>
        <w:spacing w:before="0" w:after="0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</w:r>
      <w:r>
        <w:rPr>
          <w:rFonts w:ascii="Times New Roman" w:hAnsi="Times New Roman"/>
          <w:b/>
          <w:bCs/>
          <w:i/>
          <w:iCs/>
          <w:sz w:val="28"/>
          <w:szCs w:val="28"/>
        </w:rPr>
      </w:r>
      <w:r>
        <w:rPr>
          <w:rFonts w:ascii="Times New Roman" w:hAnsi="Times New Roman"/>
          <w:b/>
          <w:bCs/>
          <w:i/>
          <w:i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Noto Sans Devanagari">
    <w:panose1 w:val="020B0502040504020204"/>
  </w:font>
  <w:font w:name="Tahoma">
    <w:panose1 w:val="020B0604030504040204"/>
  </w:font>
  <w:font w:name="Calibri Light">
    <w:panose1 w:val="020F030202020403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yperlink"/>
    <w:uiPriority w:val="99"/>
    <w:unhideWhenUsed/>
    <w:rPr>
      <w:color w:val="0000ff" w:themeColor="hyperlink"/>
      <w:u w:val="single"/>
    </w:rPr>
  </w:style>
  <w:style w:type="character" w:styleId="655">
    <w:name w:val="footnote reference"/>
    <w:basedOn w:val="690"/>
    <w:uiPriority w:val="99"/>
    <w:unhideWhenUsed/>
    <w:rPr>
      <w:vertAlign w:val="superscript"/>
    </w:rPr>
  </w:style>
  <w:style w:type="character" w:styleId="656">
    <w:name w:val="endnote reference"/>
    <w:basedOn w:val="690"/>
    <w:uiPriority w:val="99"/>
    <w:semiHidden/>
    <w:unhideWhenUsed/>
    <w:rPr>
      <w:vertAlign w:val="superscript"/>
    </w:rPr>
  </w:style>
  <w:style w:type="paragraph" w:styleId="657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Times New Roman" w:cs="Times New Roman"/>
      <w:color w:val="auto"/>
      <w:sz w:val="22"/>
      <w:szCs w:val="22"/>
      <w:lang w:val="ru-RU" w:eastAsia="ru-RU" w:bidi="ar-SA"/>
    </w:rPr>
  </w:style>
  <w:style w:type="paragraph" w:styleId="658">
    <w:name w:val="Heading 1"/>
    <w:basedOn w:val="657"/>
    <w:qFormat/>
    <w:pPr>
      <w:ind w:left="93" w:hanging="720"/>
      <w:jc w:val="center"/>
      <w:keepNext/>
      <w:spacing w:before="0" w:after="0" w:line="240" w:lineRule="auto"/>
      <w:tabs>
        <w:tab w:val="left" w:pos="93" w:leader="none"/>
        <w:tab w:val="clear" w:pos="708" w:leader="none"/>
      </w:tabs>
      <w:outlineLvl w:val="0"/>
    </w:pPr>
    <w:rPr>
      <w:rFonts w:ascii="Times New Roman" w:hAnsi="Times New Roman" w:eastAsia="Arial" w:cs="Arial" w:eastAsiaTheme="majorEastAsia" w:cstheme="majorBidi"/>
      <w:b/>
      <w:sz w:val="28"/>
      <w:szCs w:val="20"/>
      <w:lang w:eastAsia="en-US"/>
    </w:rPr>
  </w:style>
  <w:style w:type="paragraph" w:styleId="659">
    <w:name w:val="Heading 2"/>
    <w:basedOn w:val="657"/>
    <w:semiHidden/>
    <w:unhideWhenUsed/>
    <w:qFormat/>
    <w:pPr>
      <w:keepLines/>
      <w:keepNext/>
      <w:spacing w:before="40" w:after="0" w:line="240" w:lineRule="auto"/>
      <w:outlineLvl w:val="1"/>
    </w:pPr>
    <w:rPr>
      <w:rFonts w:ascii="Calibri Light" w:hAnsi="Calibri Light" w:eastAsia="Arial" w:cs="Arial"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660">
    <w:name w:val="Heading 3"/>
    <w:basedOn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5">
    <w:name w:val="Heading 8"/>
    <w:basedOn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6">
    <w:name w:val="Heading 9"/>
    <w:basedOn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>
    <w:name w:val="Интернет-ссылка"/>
    <w:basedOn w:val="690"/>
    <w:uiPriority w:val="99"/>
    <w:rPr>
      <w:color w:val="0563c1" w:themeColor="hyperlink"/>
      <w:u w:val="single"/>
    </w:rPr>
  </w:style>
  <w:style w:type="character" w:styleId="668">
    <w:name w:val="Привязка сноски"/>
    <w:rPr>
      <w:vertAlign w:val="superscript"/>
    </w:rPr>
  </w:style>
  <w:style w:type="character" w:styleId="669">
    <w:name w:val="Footnote Characters"/>
    <w:basedOn w:val="690"/>
    <w:uiPriority w:val="99"/>
    <w:unhideWhenUsed/>
    <w:qFormat/>
    <w:rPr>
      <w:vertAlign w:val="superscript"/>
    </w:rPr>
  </w:style>
  <w:style w:type="character" w:styleId="670">
    <w:name w:val="Привязка концевой сноски"/>
    <w:rPr>
      <w:vertAlign w:val="superscript"/>
    </w:rPr>
  </w:style>
  <w:style w:type="character" w:styleId="671">
    <w:name w:val="Endnote Characters"/>
    <w:basedOn w:val="690"/>
    <w:uiPriority w:val="99"/>
    <w:semiHidden/>
    <w:unhideWhenUsed/>
    <w:qFormat/>
    <w:rPr>
      <w:vertAlign w:val="superscript"/>
    </w:rPr>
  </w:style>
  <w:style w:type="character" w:styleId="672">
    <w:name w:val="Heading 1 Char"/>
    <w:basedOn w:val="690"/>
    <w:uiPriority w:val="9"/>
    <w:qFormat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690"/>
    <w:uiPriority w:val="9"/>
    <w:qFormat/>
    <w:rPr>
      <w:rFonts w:ascii="Arial" w:hAnsi="Arial" w:eastAsia="Arial" w:cs="Arial"/>
      <w:sz w:val="34"/>
    </w:rPr>
  </w:style>
  <w:style w:type="character" w:styleId="674">
    <w:name w:val="Heading 3 Char"/>
    <w:basedOn w:val="690"/>
    <w:uiPriority w:val="9"/>
    <w:qFormat/>
    <w:rPr>
      <w:rFonts w:ascii="Arial" w:hAnsi="Arial" w:eastAsia="Arial" w:cs="Arial"/>
      <w:sz w:val="30"/>
      <w:szCs w:val="30"/>
    </w:rPr>
  </w:style>
  <w:style w:type="character" w:styleId="675">
    <w:name w:val="Heading 4 Char"/>
    <w:basedOn w:val="690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6">
    <w:name w:val="Heading 5 Char"/>
    <w:basedOn w:val="690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7">
    <w:name w:val="Heading 6 Char"/>
    <w:basedOn w:val="690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8">
    <w:name w:val="Heading 7 Char"/>
    <w:basedOn w:val="690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8 Char"/>
    <w:basedOn w:val="690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0">
    <w:name w:val="Heading 9 Char"/>
    <w:basedOn w:val="690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81">
    <w:name w:val="Title Char"/>
    <w:basedOn w:val="690"/>
    <w:uiPriority w:val="10"/>
    <w:qFormat/>
    <w:rPr>
      <w:sz w:val="48"/>
      <w:szCs w:val="48"/>
    </w:rPr>
  </w:style>
  <w:style w:type="character" w:styleId="682">
    <w:name w:val="Subtitle Char"/>
    <w:basedOn w:val="690"/>
    <w:uiPriority w:val="11"/>
    <w:qFormat/>
    <w:rPr>
      <w:sz w:val="24"/>
      <w:szCs w:val="24"/>
    </w:rPr>
  </w:style>
  <w:style w:type="character" w:styleId="683">
    <w:name w:val="Quote Char"/>
    <w:uiPriority w:val="29"/>
    <w:qFormat/>
    <w:rPr>
      <w:i/>
    </w:rPr>
  </w:style>
  <w:style w:type="character" w:styleId="684">
    <w:name w:val="Intense Quote Char"/>
    <w:uiPriority w:val="30"/>
    <w:qFormat/>
    <w:rPr>
      <w:i/>
    </w:rPr>
  </w:style>
  <w:style w:type="character" w:styleId="685">
    <w:name w:val="Header Char"/>
    <w:basedOn w:val="690"/>
    <w:uiPriority w:val="99"/>
    <w:qFormat/>
  </w:style>
  <w:style w:type="character" w:styleId="686">
    <w:name w:val="Footer Char"/>
    <w:basedOn w:val="690"/>
    <w:uiPriority w:val="99"/>
    <w:qFormat/>
  </w:style>
  <w:style w:type="character" w:styleId="687">
    <w:name w:val="Caption Char"/>
    <w:uiPriority w:val="99"/>
    <w:qFormat/>
  </w:style>
  <w:style w:type="character" w:styleId="688">
    <w:name w:val="Footnote Text Char"/>
    <w:uiPriority w:val="99"/>
    <w:qFormat/>
    <w:rPr>
      <w:sz w:val="18"/>
    </w:rPr>
  </w:style>
  <w:style w:type="character" w:styleId="689">
    <w:name w:val="Endnote Text Char"/>
    <w:uiPriority w:val="99"/>
    <w:qFormat/>
    <w:rPr>
      <w:sz w:val="20"/>
    </w:rPr>
  </w:style>
  <w:style w:type="character" w:styleId="690" w:default="1">
    <w:name w:val="Default Paragraph Font"/>
    <w:uiPriority w:val="1"/>
    <w:semiHidden/>
    <w:unhideWhenUsed/>
    <w:qFormat/>
  </w:style>
  <w:style w:type="character" w:styleId="691" w:customStyle="1">
    <w:name w:val="Заголовок 1 Знак"/>
    <w:basedOn w:val="690"/>
    <w:qFormat/>
    <w:rPr>
      <w:rFonts w:eastAsia="Arial" w:cs="Arial" w:eastAsiaTheme="majorEastAsia" w:cstheme="majorBidi"/>
      <w:b/>
      <w:sz w:val="24"/>
      <w:szCs w:val="24"/>
      <w:lang w:eastAsia="ru-RU"/>
    </w:rPr>
  </w:style>
  <w:style w:type="character" w:styleId="692" w:customStyle="1">
    <w:name w:val="Заголовок 2 Знак"/>
    <w:basedOn w:val="690"/>
    <w:semiHidden/>
    <w:qFormat/>
    <w:rPr>
      <w:rFonts w:ascii="Calibri Light" w:hAnsi="Calibri Light" w:eastAsia="Arial" w:cs="Arial" w:asciiTheme="majorHAnsi" w:hAnsiTheme="majorHAnsi" w:eastAsiaTheme="majorEastAsia" w:cstheme="majorBidi"/>
      <w:color w:val="2f5496" w:themeColor="accent1" w:themeShade="BF"/>
      <w:sz w:val="26"/>
      <w:szCs w:val="26"/>
      <w:lang w:eastAsia="ru-RU"/>
    </w:rPr>
  </w:style>
  <w:style w:type="character" w:styleId="693" w:customStyle="1">
    <w:name w:val="Текст выноски Знак"/>
    <w:basedOn w:val="690"/>
    <w:uiPriority w:val="99"/>
    <w:semiHidden/>
    <w:qFormat/>
    <w:rPr>
      <w:rFonts w:ascii="Tahoma" w:hAnsi="Tahoma" w:cs="Tahoma"/>
      <w:sz w:val="24"/>
      <w:szCs w:val="16"/>
    </w:rPr>
  </w:style>
  <w:style w:type="character" w:styleId="694" w:customStyle="1">
    <w:name w:val="Основной текст (2)_"/>
    <w:qFormat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character" w:styleId="695" w:customStyle="1">
    <w:name w:val="Текст примечания Знак"/>
    <w:basedOn w:val="690"/>
    <w:qFormat/>
    <w:rPr>
      <w:sz w:val="20"/>
      <w:szCs w:val="20"/>
      <w:lang w:eastAsia="ru-RU"/>
    </w:rPr>
  </w:style>
  <w:style w:type="character" w:styleId="696">
    <w:name w:val="annotation reference"/>
    <w:basedOn w:val="690"/>
    <w:qFormat/>
    <w:rPr>
      <w:sz w:val="16"/>
      <w:szCs w:val="16"/>
    </w:rPr>
  </w:style>
  <w:style w:type="character" w:styleId="697">
    <w:name w:val="Посещённая гиперссылка"/>
    <w:basedOn w:val="690"/>
    <w:rPr>
      <w:color w:val="954f72" w:themeColor="followedHyperlink"/>
      <w:u w:val="single"/>
    </w:rPr>
  </w:style>
  <w:style w:type="character" w:styleId="698" w:customStyle="1">
    <w:name w:val="Тема примечания Знак"/>
    <w:basedOn w:val="695"/>
    <w:qFormat/>
    <w:rPr>
      <w:b/>
      <w:bCs/>
      <w:sz w:val="20"/>
      <w:szCs w:val="20"/>
      <w:lang w:eastAsia="ru-RU"/>
    </w:rPr>
  </w:style>
  <w:style w:type="character" w:styleId="699">
    <w:name w:val="Strong"/>
    <w:qFormat/>
    <w:rPr>
      <w:b/>
      <w:bCs/>
    </w:rPr>
  </w:style>
  <w:style w:type="character" w:styleId="700" w:customStyle="1">
    <w:name w:val="Unresolved Mention"/>
    <w:basedOn w:val="690"/>
    <w:uiPriority w:val="99"/>
    <w:semiHidden/>
    <w:unhideWhenUsed/>
    <w:qFormat/>
    <w:rPr>
      <w:color w:val="605e5c"/>
      <w:shd w:val="clear" w:color="auto" w:fill="e1dfdd"/>
    </w:rPr>
  </w:style>
  <w:style w:type="paragraph" w:styleId="701">
    <w:name w:val="Заголовок"/>
    <w:basedOn w:val="657"/>
    <w:next w:val="702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702">
    <w:name w:val="Body Text"/>
    <w:basedOn w:val="657"/>
    <w:pPr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Times New Roman" w:hAnsi="Times New Roman" w:eastAsia="Tahoma" w:cs="Noto Sans Devanaga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u w:val="none"/>
      <w:vertAlign w:val="baseline"/>
      <w:lang w:val="ru-RU" w:eastAsia="ru-RU" w:bidi="ar-SA"/>
    </w:rPr>
  </w:style>
  <w:style w:type="paragraph" w:styleId="703">
    <w:name w:val="List"/>
    <w:basedOn w:val="702"/>
    <w:rPr>
      <w:rFonts w:ascii="PT Astra Serif" w:hAnsi="PT Astra Serif" w:cs="Noto Sans Devanagari"/>
    </w:rPr>
  </w:style>
  <w:style w:type="paragraph" w:styleId="704">
    <w:name w:val="Caption"/>
    <w:basedOn w:val="6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05">
    <w:name w:val="Указатель"/>
    <w:basedOn w:val="657"/>
    <w:qFormat/>
    <w:pPr>
      <w:suppressLineNumbers/>
    </w:pPr>
    <w:rPr>
      <w:rFonts w:ascii="PT Astra Serif" w:hAnsi="PT Astra Serif" w:cs="Noto Sans Devanagari"/>
    </w:rPr>
  </w:style>
  <w:style w:type="paragraph" w:styleId="706">
    <w:name w:val="Title"/>
    <w:basedOn w:val="65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07">
    <w:name w:val="Subtitle"/>
    <w:basedOn w:val="657"/>
    <w:uiPriority w:val="11"/>
    <w:qFormat/>
    <w:pPr>
      <w:spacing w:before="200" w:after="200"/>
    </w:pPr>
    <w:rPr>
      <w:sz w:val="24"/>
      <w:szCs w:val="24"/>
    </w:rPr>
  </w:style>
  <w:style w:type="paragraph" w:styleId="708">
    <w:name w:val="Quote"/>
    <w:basedOn w:val="657"/>
    <w:uiPriority w:val="29"/>
    <w:qFormat/>
    <w:pPr>
      <w:ind w:left="720" w:right="720" w:firstLine="0"/>
    </w:pPr>
    <w:rPr>
      <w:i/>
    </w:rPr>
  </w:style>
  <w:style w:type="paragraph" w:styleId="709">
    <w:name w:val="Intense Quote"/>
    <w:basedOn w:val="657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10">
    <w:name w:val="Верхний и нижний колонтитулы"/>
    <w:basedOn w:val="657"/>
    <w:qFormat/>
  </w:style>
  <w:style w:type="paragraph" w:styleId="711">
    <w:name w:val="Header"/>
    <w:basedOn w:val="65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2">
    <w:name w:val="Footer"/>
    <w:basedOn w:val="657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13">
    <w:name w:val="footnote text"/>
    <w:basedOn w:val="65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14">
    <w:name w:val="endnote text"/>
    <w:basedOn w:val="65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15">
    <w:name w:val="toc 1"/>
    <w:basedOn w:val="657"/>
    <w:uiPriority w:val="39"/>
    <w:unhideWhenUsed/>
    <w:pPr>
      <w:ind w:left="0" w:right="0" w:firstLine="0"/>
      <w:spacing w:before="0" w:after="57"/>
    </w:pPr>
  </w:style>
  <w:style w:type="paragraph" w:styleId="716">
    <w:name w:val="toc 2"/>
    <w:basedOn w:val="657"/>
    <w:uiPriority w:val="39"/>
    <w:unhideWhenUsed/>
    <w:pPr>
      <w:ind w:left="283" w:right="0" w:firstLine="0"/>
      <w:spacing w:before="0" w:after="57"/>
    </w:pPr>
  </w:style>
  <w:style w:type="paragraph" w:styleId="717">
    <w:name w:val="toc 3"/>
    <w:basedOn w:val="657"/>
    <w:uiPriority w:val="39"/>
    <w:unhideWhenUsed/>
    <w:pPr>
      <w:ind w:left="567" w:right="0" w:firstLine="0"/>
      <w:spacing w:before="0" w:after="57"/>
    </w:pPr>
  </w:style>
  <w:style w:type="paragraph" w:styleId="718">
    <w:name w:val="toc 4"/>
    <w:basedOn w:val="657"/>
    <w:uiPriority w:val="39"/>
    <w:unhideWhenUsed/>
    <w:pPr>
      <w:ind w:left="850" w:right="0" w:firstLine="0"/>
      <w:spacing w:before="0" w:after="57"/>
    </w:pPr>
  </w:style>
  <w:style w:type="paragraph" w:styleId="719">
    <w:name w:val="toc 5"/>
    <w:basedOn w:val="657"/>
    <w:uiPriority w:val="39"/>
    <w:unhideWhenUsed/>
    <w:pPr>
      <w:ind w:left="1134" w:right="0" w:firstLine="0"/>
      <w:spacing w:before="0" w:after="57"/>
    </w:pPr>
  </w:style>
  <w:style w:type="paragraph" w:styleId="720">
    <w:name w:val="toc 6"/>
    <w:basedOn w:val="657"/>
    <w:uiPriority w:val="39"/>
    <w:unhideWhenUsed/>
    <w:pPr>
      <w:ind w:left="1417" w:right="0" w:firstLine="0"/>
      <w:spacing w:before="0" w:after="57"/>
    </w:pPr>
  </w:style>
  <w:style w:type="paragraph" w:styleId="721">
    <w:name w:val="toc 7"/>
    <w:basedOn w:val="657"/>
    <w:uiPriority w:val="39"/>
    <w:unhideWhenUsed/>
    <w:pPr>
      <w:ind w:left="1701" w:right="0" w:firstLine="0"/>
      <w:spacing w:before="0" w:after="57"/>
    </w:pPr>
  </w:style>
  <w:style w:type="paragraph" w:styleId="722">
    <w:name w:val="toc 8"/>
    <w:basedOn w:val="657"/>
    <w:uiPriority w:val="39"/>
    <w:unhideWhenUsed/>
    <w:pPr>
      <w:ind w:left="1984" w:right="0" w:firstLine="0"/>
      <w:spacing w:before="0" w:after="57"/>
    </w:pPr>
  </w:style>
  <w:style w:type="paragraph" w:styleId="723">
    <w:name w:val="toc 9"/>
    <w:basedOn w:val="657"/>
    <w:uiPriority w:val="39"/>
    <w:unhideWhenUsed/>
    <w:pPr>
      <w:ind w:left="2268" w:right="0" w:firstLine="0"/>
      <w:spacing w:before="0" w:after="57"/>
    </w:pPr>
  </w:style>
  <w:style w:type="paragraph" w:styleId="724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Calibri" w:cs="Times New Roman" w:eastAsiaTheme="minorHAnsi"/>
      <w:color w:val="auto"/>
      <w:sz w:val="22"/>
      <w:szCs w:val="20"/>
      <w:lang w:val="ru-RU" w:eastAsia="en-US" w:bidi="ar-SA"/>
    </w:rPr>
  </w:style>
  <w:style w:type="paragraph" w:styleId="725">
    <w:name w:val="table of figures"/>
    <w:basedOn w:val="657"/>
    <w:uiPriority w:val="99"/>
    <w:unhideWhenUsed/>
    <w:qFormat/>
    <w:pPr>
      <w:spacing w:before="0" w:after="0" w:afterAutospacing="0"/>
    </w:pPr>
  </w:style>
  <w:style w:type="paragraph" w:styleId="726">
    <w:name w:val="Balloon Text"/>
    <w:basedOn w:val="657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24"/>
      <w:szCs w:val="16"/>
    </w:rPr>
  </w:style>
  <w:style w:type="paragraph" w:styleId="727" w:customStyle="1">
    <w:name w:val="ConsPlusNormal"/>
    <w:qFormat/>
    <w:pPr>
      <w:jc w:val="left"/>
      <w:spacing w:before="0" w:after="0"/>
      <w:widowControl w:val="off"/>
    </w:pPr>
    <w:rPr>
      <w:rFonts w:ascii="Calibri" w:hAnsi="Calibri" w:eastAsia="Calibri" w:cs="Calibri" w:eastAsiaTheme="minorHAnsi"/>
      <w:color w:val="auto"/>
      <w:sz w:val="22"/>
      <w:szCs w:val="20"/>
      <w:lang w:val="ru-RU" w:eastAsia="ru-RU" w:bidi="ar-SA"/>
    </w:rPr>
  </w:style>
  <w:style w:type="paragraph" w:styleId="728" w:customStyle="1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2"/>
      <w:szCs w:val="20"/>
      <w:lang w:val="ru-RU" w:eastAsia="ru-RU" w:bidi="ar-SA"/>
    </w:rPr>
  </w:style>
  <w:style w:type="paragraph" w:styleId="729" w:customStyle="1">
    <w:name w:val="Основной текст (2)"/>
    <w:basedOn w:val="657"/>
    <w:qFormat/>
    <w:pPr>
      <w:ind w:hanging="420"/>
      <w:jc w:val="center"/>
      <w:spacing w:before="0" w:after="180"/>
      <w:shd w:val="clear" w:color="auto" w:fill="ffffff"/>
      <w:widowControl w:val="off"/>
    </w:pPr>
    <w:rPr>
      <w:rFonts w:ascii="Times New Roman" w:hAnsi="Times New Roman"/>
      <w:sz w:val="28"/>
      <w:szCs w:val="20"/>
      <w:lang w:eastAsia="en-US"/>
    </w:rPr>
  </w:style>
  <w:style w:type="paragraph" w:styleId="730">
    <w:name w:val="annotation text"/>
    <w:basedOn w:val="657"/>
    <w:qFormat/>
    <w:pPr>
      <w:spacing w:before="0" w:after="0" w:line="240" w:lineRule="auto"/>
    </w:pPr>
    <w:rPr>
      <w:rFonts w:ascii="Times New Roman" w:hAnsi="Times New Roman" w:eastAsia="Calibri" w:eastAsiaTheme="minorHAnsi"/>
      <w:sz w:val="28"/>
      <w:szCs w:val="20"/>
      <w:lang w:eastAsia="en-US"/>
    </w:rPr>
  </w:style>
  <w:style w:type="paragraph" w:styleId="731">
    <w:name w:val="annotation subject"/>
    <w:basedOn w:val="730"/>
    <w:qFormat/>
    <w:rPr>
      <w:b/>
      <w:bCs/>
    </w:rPr>
  </w:style>
  <w:style w:type="paragraph" w:styleId="732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imes New Roman" w:cs="Arial"/>
      <w:color w:val="auto"/>
      <w:sz w:val="24"/>
      <w:szCs w:val="24"/>
      <w:lang w:val="ru-RU" w:eastAsia="ru-RU" w:bidi="ar-SA"/>
    </w:rPr>
  </w:style>
  <w:style w:type="paragraph" w:styleId="733">
    <w:name w:val="List Paragraph"/>
    <w:basedOn w:val="657"/>
    <w:uiPriority w:val="34"/>
    <w:qFormat/>
    <w:pPr>
      <w:contextualSpacing/>
      <w:ind w:left="720" w:firstLine="0"/>
      <w:spacing w:before="0" w:after="0" w:line="240" w:lineRule="auto"/>
    </w:pPr>
    <w:rPr>
      <w:rFonts w:ascii="Times New Roman" w:hAnsi="Times New Roman" w:eastAsia="Calibri" w:eastAsiaTheme="minorHAnsi"/>
      <w:sz w:val="28"/>
      <w:szCs w:val="20"/>
      <w:lang w:eastAsia="en-US"/>
    </w:rPr>
  </w:style>
  <w:style w:type="paragraph" w:styleId="734" w:customStyle="1">
    <w:name w:val="ConsPlusTitle"/>
    <w:qFormat/>
    <w:pPr>
      <w:jc w:val="left"/>
      <w:spacing w:before="0" w:after="0"/>
      <w:widowControl w:val="off"/>
    </w:pPr>
    <w:rPr>
      <w:rFonts w:ascii="Calibri" w:hAnsi="Calibri" w:eastAsia="Calibri" w:cs="Calibri" w:eastAsiaTheme="minorHAnsi"/>
      <w:b/>
      <w:color w:val="auto"/>
      <w:sz w:val="22"/>
      <w:szCs w:val="20"/>
      <w:lang w:val="ru-RU" w:eastAsia="ru-RU" w:bidi="ar-SA"/>
    </w:rPr>
  </w:style>
  <w:style w:type="paragraph" w:styleId="735" w:customStyle="1">
    <w:name w:val="Абзац списка1"/>
    <w:basedOn w:val="657"/>
    <w:qFormat/>
    <w:pPr>
      <w:contextualSpacing/>
      <w:ind w:left="720" w:firstLine="0"/>
      <w:spacing w:before="0" w:after="200"/>
    </w:pPr>
    <w:rPr>
      <w:lang w:eastAsia="en-US"/>
    </w:rPr>
  </w:style>
  <w:style w:type="numbering" w:styleId="736" w:default="1">
    <w:name w:val="No List"/>
    <w:uiPriority w:val="99"/>
    <w:semiHidden/>
    <w:unhideWhenUsed/>
    <w:qFormat/>
  </w:style>
  <w:style w:type="table" w:styleId="73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ae3f3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37fc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6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6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77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1" w:themeFillTint="75"/>
      </w:tcPr>
    </w:tblStylePr>
    <w:tblStylePr w:type="band1Vert">
      <w:tcPr>
        <w:shd w:val="clear" w:color="ffffff" w:fill="aabfe3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1"/>
      </w:tcPr>
    </w:tblStylePr>
    <w:tblStylePr w:type="firstRow">
      <w:rPr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ffffff"/>
        <w:sz w:val="22"/>
      </w:rPr>
      <w:tcPr>
        <w:shd w:val="clear" w:color="ffffff" w:fill="4472c4" w:themeFill="accent1"/>
      </w:tcPr>
    </w:tblStylePr>
    <w:tblStylePr w:type="lastRow">
      <w:rPr>
        <w:b/>
        <w:color w:val="ffffff"/>
        <w:sz w:val="22"/>
      </w:rPr>
      <w:tcPr>
        <w:shd w:val="clear" w:color="ffffff" w:fill="4472c4" w:themeFill="accent1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77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5" w:themeFillTint="75"/>
      </w:tcPr>
    </w:tblStylePr>
    <w:tblStylePr w:type="band1Vert">
      <w:tcPr>
        <w:shd w:val="clear" w:color="ffffff" w:fill="b4d2eb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5"/>
      </w:tcPr>
    </w:tblStylePr>
    <w:tblStylePr w:type="firstRow">
      <w:rPr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b/>
        <w:color w:val="ffffff"/>
        <w:sz w:val="22"/>
      </w:rPr>
      <w:tcPr>
        <w:shd w:val="clear" w:color="ffffff" w:fill="5b9bd5" w:themeFill="accent5"/>
      </w:tcPr>
    </w:tblStylePr>
    <w:tblStylePr w:type="lastRow">
      <w:rPr>
        <w:b/>
        <w:color w:val="ffffff"/>
        <w:sz w:val="22"/>
      </w:rPr>
      <w:tcPr>
        <w:shd w:val="clear" w:color="ffffff" w:fill="5b9bd5" w:themeFill="accent5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77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9e2f2" w:themeFill="accent1" w:themeFillTint="34"/>
      </w:tcPr>
    </w:tblStylePr>
    <w:tblStylePr w:type="band1Vert">
      <w:tcPr>
        <w:shd w:val="clear" w:color="ffffff" w:fill="d9e2f2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8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debf6" w:themeFill="accent5" w:themeFillTint="34"/>
      </w:tcPr>
    </w:tblStylePr>
    <w:tblStylePr w:type="band1Vert">
      <w:tcPr>
        <w:shd w:val="clear" w:color="ffffff" w:fill="ddebf6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8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664a9" w:themeColor="accent1" w:themeTint="80" w:themeShade="95"/>
        <w:sz w:val="22"/>
      </w:rPr>
      <w:tcPr>
        <w:shd w:val="clear" w:color="ffffff" w:fill="d9e2f2" w:themeFill="accent1" w:themeFillTint="34"/>
      </w:tcPr>
    </w:tblStylePr>
    <w:tblStylePr w:type="band1Vert">
      <w:tcPr>
        <w:shd w:val="clear" w:color="ffffff" w:fill="d9e2f2" w:themeFill="accent1" w:themeFillTint="34"/>
      </w:tcPr>
    </w:tblStylePr>
    <w:tblStylePr w:type="band2Horz">
      <w:rPr>
        <w:color w:val="3664a9" w:themeColor="accent1" w:themeTint="80" w:themeShade="95"/>
        <w:sz w:val="22"/>
      </w:rPr>
    </w:tblStylePr>
    <w:tblStylePr w:type="firstCol">
      <w:rPr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664a9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664a9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45d8d" w:themeColor="accent5" w:themeShade="95"/>
        <w:sz w:val="22"/>
      </w:rPr>
      <w:tcPr>
        <w:shd w:val="clear" w:color="ffffff" w:fill="ddebf6" w:themeFill="accent5" w:themeFillTint="34"/>
      </w:tcPr>
    </w:tblStylePr>
    <w:tblStylePr w:type="band1Vert">
      <w:tcPr>
        <w:shd w:val="clear" w:color="ffffff" w:fill="ddebf6" w:themeFill="accent5" w:themeFillTint="34"/>
      </w:tcPr>
    </w:tblStylePr>
    <w:tblStylePr w:type="band2Horz">
      <w:rPr>
        <w:color w:val="245d8d" w:themeColor="accent5" w:themeShade="95"/>
        <w:sz w:val="22"/>
      </w:rPr>
    </w:tblStylePr>
    <w:tblStylePr w:type="firstCol">
      <w:rPr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45d8d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45d8d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cfdcf0" w:themeFill="accent1" w:themeFillTint="40"/>
      </w:tcPr>
    </w:tblStylePr>
    <w:tblStylePr w:type="band1Vert">
      <w:tcPr>
        <w:shd w:val="clear" w:color="ffffff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5e6f4" w:themeFill="accent5" w:themeFillTint="40"/>
      </w:tcPr>
    </w:tblStylePr>
    <w:tblStylePr w:type="band1Vert">
      <w:tcPr>
        <w:shd w:val="clear" w:color="ffffff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0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0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0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0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0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0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0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cc4e5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2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cfdcf0" w:themeFill="accent1" w:themeFillTint="40"/>
      </w:tcPr>
    </w:tblStylePr>
    <w:tblStylePr w:type="band1Vert">
      <w:tcPr>
        <w:shd w:val="clear" w:color="ffffff" w:fill="cfdcf0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3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3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3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d5e6f4" w:themeFill="accent5" w:themeFillTint="40"/>
      </w:tcPr>
    </w:tblStylePr>
    <w:tblStylePr w:type="band1Vert">
      <w:tcPr>
        <w:shd w:val="clear" w:color="ffffff" w:fill="d5e6f4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3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3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3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54374" w:themeColor="accent1" w:themeShade="95"/>
        <w:sz w:val="22"/>
      </w:rPr>
      <w:tcPr>
        <w:shd w:val="clear" w:color="ffffff" w:fill="cfdcf0" w:themeFill="accent1" w:themeFillTint="40"/>
      </w:tcPr>
    </w:tblStylePr>
    <w:tblStylePr w:type="band1Vert">
      <w:tcPr>
        <w:shd w:val="clear" w:color="ffffff" w:fill="cfdcf0" w:themeFill="accent1" w:themeFillTint="40"/>
      </w:tcPr>
    </w:tblStylePr>
    <w:tblStylePr w:type="band2Horz">
      <w:rPr>
        <w:color w:val="254374" w:themeColor="accent1" w:themeShade="95"/>
        <w:sz w:val="22"/>
      </w:rPr>
    </w:tblStylePr>
    <w:tblStylePr w:type="firstCol">
      <w:rPr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54374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54374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54374" w:themeColor="accent1" w:themeShade="95"/>
        <w:sz w:val="22"/>
      </w:rPr>
    </w:tblStylePr>
  </w:style>
  <w:style w:type="table" w:styleId="83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3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3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4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2e78b1" w:themeColor="accent5" w:themeTint="9A" w:themeShade="95"/>
        <w:sz w:val="22"/>
      </w:rPr>
      <w:tcPr>
        <w:shd w:val="clear" w:color="ffffff" w:fill="d5e6f4" w:themeFill="accent5" w:themeFillTint="40"/>
      </w:tcPr>
    </w:tblStylePr>
    <w:tblStylePr w:type="band1Vert">
      <w:tcPr>
        <w:shd w:val="clear" w:color="ffffff" w:fill="d5e6f4" w:themeFill="accent5" w:themeFillTint="40"/>
      </w:tcPr>
    </w:tblStylePr>
    <w:tblStylePr w:type="band2Horz">
      <w:rPr>
        <w:color w:val="2e78b1" w:themeColor="accent5" w:themeTint="9A" w:themeShade="95"/>
        <w:sz w:val="22"/>
      </w:rPr>
    </w:tblStylePr>
    <w:tblStylePr w:type="firstCol">
      <w:rPr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2e78b1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e78b1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e78b1" w:themeColor="accent5" w:themeTint="9A" w:themeShade="95"/>
        <w:sz w:val="22"/>
      </w:rPr>
    </w:tblStylePr>
  </w:style>
  <w:style w:type="table" w:styleId="84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4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4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3d3ec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3d3ec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37fc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37fc8" w:themeFill="accent1" w:themeFillTint="EA"/>
      </w:tcPr>
    </w:tblStylePr>
    <w:tblStylePr w:type="lastCol">
      <w:rPr>
        <w:color w:val="f2f2f2"/>
        <w:sz w:val="22"/>
      </w:rPr>
      <w:tcPr>
        <w:shd w:val="clear" w:color="ffffff" w:fill="537fc8" w:themeFill="accent1" w:themeFillTint="EA"/>
      </w:tcPr>
    </w:tblStylePr>
    <w:tblStylePr w:type="lastRow">
      <w:rPr>
        <w:color w:val="f2f2f2"/>
        <w:sz w:val="22"/>
      </w:rPr>
      <w:tcPr>
        <w:shd w:val="clear" w:color="ffffff" w:fill="537fc8" w:themeFill="accent1" w:themeFillTint="EA"/>
      </w:tcPr>
    </w:tblStylePr>
  </w:style>
  <w:style w:type="table" w:styleId="84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4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4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4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debf6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debf6" w:themeFill="accent5" w:themeFillTint="34"/>
      </w:tcPr>
    </w:tblStylePr>
    <w:tblStylePr w:type="firstCol">
      <w:rPr>
        <w:color w:val="f2f2f2"/>
        <w:sz w:val="22"/>
      </w:rPr>
      <w:tcPr>
        <w:shd w:val="clear" w:color="ffffff" w:fill="5b9bd5" w:themeFill="accent5"/>
      </w:tcPr>
    </w:tblStylePr>
    <w:tblStylePr w:type="firstRow">
      <w:rPr>
        <w:color w:val="f2f2f2"/>
        <w:sz w:val="22"/>
      </w:rPr>
      <w:tcPr>
        <w:shd w:val="clear" w:color="ffffff" w:fill="5b9bd5" w:themeFill="accent5"/>
      </w:tcPr>
    </w:tblStylePr>
    <w:tblStylePr w:type="lastCol">
      <w:rPr>
        <w:color w:val="f2f2f2"/>
        <w:sz w:val="22"/>
      </w:rPr>
      <w:tcPr>
        <w:shd w:val="clear" w:color="ffffff" w:fill="5b9bd5" w:themeFill="accent5"/>
      </w:tcPr>
    </w:tblStylePr>
    <w:tblStylePr w:type="lastRow">
      <w:rPr>
        <w:color w:val="f2f2f2"/>
        <w:sz w:val="22"/>
      </w:rPr>
      <w:tcPr>
        <w:shd w:val="clear" w:color="ffffff" w:fill="5b9bd5" w:themeFill="accent5"/>
      </w:tcPr>
    </w:tblStylePr>
  </w:style>
  <w:style w:type="table" w:styleId="84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4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5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3d3ec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3d3ec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37fc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37fc8" w:themeFill="accent1" w:themeFillTint="EA"/>
      </w:tcPr>
    </w:tblStylePr>
    <w:tblStylePr w:type="lastCol">
      <w:rPr>
        <w:color w:val="f2f2f2"/>
        <w:sz w:val="22"/>
      </w:rPr>
      <w:tcPr>
        <w:shd w:val="clear" w:color="ffffff" w:fill="537fc8" w:themeFill="accent1" w:themeFillTint="EA"/>
      </w:tcPr>
    </w:tblStylePr>
    <w:tblStylePr w:type="lastRow">
      <w:rPr>
        <w:color w:val="f2f2f2"/>
        <w:sz w:val="22"/>
      </w:rPr>
      <w:tcPr>
        <w:shd w:val="clear" w:color="ffffff" w:fill="537fc8" w:themeFill="accent1" w:themeFillTint="EA"/>
      </w:tcPr>
    </w:tblStylePr>
  </w:style>
  <w:style w:type="table" w:styleId="85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5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5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5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debf6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debf6" w:themeFill="accent5" w:themeFillTint="34"/>
      </w:tcPr>
    </w:tblStylePr>
    <w:tblStylePr w:type="firstCol">
      <w:rPr>
        <w:color w:val="f2f2f2"/>
        <w:sz w:val="22"/>
      </w:rPr>
      <w:tcPr>
        <w:shd w:val="clear" w:color="ffffff" w:fill="5b9bd5" w:themeFill="accent5"/>
      </w:tcPr>
    </w:tblStylePr>
    <w:tblStylePr w:type="firstRow">
      <w:rPr>
        <w:color w:val="f2f2f2"/>
        <w:sz w:val="22"/>
      </w:rPr>
      <w:tcPr>
        <w:shd w:val="clear" w:color="ffffff" w:fill="5b9bd5" w:themeFill="accent5"/>
      </w:tcPr>
    </w:tblStylePr>
    <w:tblStylePr w:type="lastCol">
      <w:rPr>
        <w:color w:val="f2f2f2"/>
        <w:sz w:val="22"/>
      </w:rPr>
      <w:tcPr>
        <w:shd w:val="clear" w:color="ffffff" w:fill="5b9bd5" w:themeFill="accent5"/>
      </w:tcPr>
    </w:tblStylePr>
    <w:tblStylePr w:type="lastRow">
      <w:rPr>
        <w:color w:val="f2f2f2"/>
        <w:sz w:val="22"/>
      </w:rPr>
      <w:tcPr>
        <w:shd w:val="clear" w:color="ffffff" w:fill="5b9bd5" w:themeFill="accent5"/>
      </w:tcPr>
    </w:tblStylePr>
  </w:style>
  <w:style w:type="table" w:styleId="85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5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5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5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6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6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6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6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dc:description/>
  <dc:language>ru-RU</dc:language>
  <cp:revision>22</cp:revision>
  <dcterms:created xsi:type="dcterms:W3CDTF">2023-10-26T14:26:00Z</dcterms:created>
  <dcterms:modified xsi:type="dcterms:W3CDTF">2025-03-31T08:14:05Z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