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ind w:left="0" w:right="0" w:firstLine="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57"/>
        <w:ind w:left="0" w:right="0" w:firstLine="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муниципальной преференции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5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МКУ «АХС Ровеньского района»</w:t>
      </w:r>
      <w:r>
        <w:rPr>
          <w:rFonts w:ascii="Times New Roman" w:hAnsi="Times New Roman"/>
          <w:b/>
          <w:i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извещает о намерении предоставить в соответствии с муниципальной программой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Ровеньского района «Развитие и поддержка малого и среднего предпринимательства, улучшение условий и охраны труда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Ровеньском районе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» муниципальную преференцию в целях поддержки субъектов малого и среднего предпринимательства путем предоставления в безвозмездное пользование на срок 5 лет следующего имущества: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tbl>
      <w:tblPr>
        <w:tblW w:w="9621" w:type="dxa"/>
        <w:tblInd w:w="10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52"/>
        <w:gridCol w:w="6368"/>
      </w:tblGrid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Наименование имущества, тип транспортного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Автомагазин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32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Марка/ модель: Фургон-автомагазин на шасси ГАЗ-А21R33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Государственный регистрационный знак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Х394НТ31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VIN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J73008GERM010072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Шасси (рама)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Х96А21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R33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Р2909250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Кузов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R22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Р0192569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Модель и № двигателя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А27500Р0903331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Цвет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БЕЛЫЙ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Год выпуска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5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предоставления имущества в безвозмездное пользование - организация торгового обслуживания посредством выездной торговли в малочисленных сельских населенных пунктах</w:t>
      </w:r>
      <w:r>
        <w:rPr>
          <w:rFonts w:ascii="Times New Roman" w:hAnsi="Times New Roman"/>
          <w:sz w:val="28"/>
          <w:szCs w:val="24"/>
        </w:rPr>
        <w:t xml:space="preserve">, не имеющих стационарных торговых объектов.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Условия безвозмездного пользования определены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прилагаем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договора безвозмездного пользования.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Заявитель, претендующий на получение муниципальной преференции (далее - заявитель), должен отвечать следующим требованиям: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1) быть субъектом малого и среднего предпринимательства, зарегистрированны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и осуществляющ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</w:t>
      </w:r>
      <w:r>
        <w:rPr>
          <w:rFonts w:ascii="Times New Roman" w:hAnsi="Times New Roman"/>
          <w:sz w:val="28"/>
          <w:szCs w:val="28"/>
        </w:rPr>
        <w:t xml:space="preserve"> деятельность на территории Белгородской области;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заявитель - юридическое лицо не должно находиться в процессе реорганизации, ликвидации, в отношении него не введена процедура банкротства;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деятельность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 </w:t>
      </w:r>
      <w:r>
        <w:rPr>
          <w:rFonts w:ascii="Times New Roman" w:hAnsi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</w:t>
      </w:r>
      <w:bookmarkStart w:id="0" w:name="__DdeLink__186_3904629729"/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 на дату подачи заявления</w:t>
      </w:r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  <w:r/>
    </w:p>
    <w:p>
      <w:pPr>
        <w:pStyle w:val="733"/>
        <w:contextualSpacing/>
        <w:ind w:left="0" w:firstLine="720"/>
        <w:jc w:val="both"/>
        <w:spacing w:before="0" w:after="0"/>
      </w:pPr>
      <w:r>
        <w:rPr>
          <w:rFonts w:eastAsia="Calibri" w:eastAsiaTheme="minorHAnsi"/>
          <w:sz w:val="28"/>
          <w:szCs w:val="28"/>
          <w:lang w:eastAsia="en-US"/>
        </w:rPr>
        <w:t xml:space="preserve">5</w:t>
      </w:r>
      <w:r>
        <w:rPr>
          <w:szCs w:val="28"/>
        </w:rPr>
        <w:t xml:space="preserve">) </w:t>
      </w:r>
      <w:r>
        <w:rPr>
          <w:sz w:val="28"/>
          <w:szCs w:val="28"/>
        </w:rPr>
        <w:t xml:space="preserve">у </w:t>
      </w:r>
      <w:r>
        <w:rPr>
          <w:rFonts w:eastAsia="Times New Roman"/>
          <w:sz w:val="28"/>
          <w:szCs w:val="28"/>
          <w:lang w:eastAsia="ru-RU"/>
        </w:rPr>
        <w:t xml:space="preserve">заявителя на дату подачи заявления </w:t>
      </w:r>
      <w:r>
        <w:rPr>
          <w:szCs w:val="28"/>
        </w:rPr>
        <w:t xml:space="preserve">отсутствует просроченная задолженность по возврату в бюджет </w:t>
      </w:r>
      <w:bookmarkStart w:id="1" w:name="__DdeLink__188_3904629729"/>
      <w:r>
        <w:rPr>
          <w:szCs w:val="28"/>
        </w:rPr>
        <w:t xml:space="preserve">муниципального образования </w:t>
      </w:r>
      <w:bookmarkEnd w:id="1"/>
      <w:r>
        <w:rPr>
          <w:szCs w:val="28"/>
        </w:rPr>
        <w:t xml:space="preserve">субсидий, бюджетных инвестиций и ин</w:t>
      </w:r>
      <w:r>
        <w:rPr>
          <w:rFonts w:eastAsia="Calibri" w:eastAsiaTheme="minorHAnsi"/>
          <w:sz w:val="28"/>
          <w:szCs w:val="28"/>
          <w:lang w:eastAsia="en-US"/>
        </w:rPr>
        <w:t xml:space="preserve">ая</w:t>
      </w:r>
      <w:r>
        <w:rPr>
          <w:szCs w:val="28"/>
        </w:rPr>
        <w:t xml:space="preserve"> просроченн</w:t>
      </w:r>
      <w:r>
        <w:rPr>
          <w:rFonts w:eastAsia="Calibri" w:eastAsiaTheme="minorHAnsi"/>
          <w:sz w:val="28"/>
          <w:szCs w:val="28"/>
          <w:lang w:eastAsia="en-US"/>
        </w:rPr>
        <w:t xml:space="preserve">ая</w:t>
      </w:r>
      <w:r>
        <w:rPr>
          <w:szCs w:val="28"/>
        </w:rPr>
        <w:t xml:space="preserve"> задолженност</w:t>
      </w:r>
      <w:r>
        <w:rPr>
          <w:rFonts w:eastAsia="Calibri" w:eastAsiaTheme="minorHAnsi"/>
          <w:sz w:val="28"/>
          <w:szCs w:val="28"/>
          <w:lang w:eastAsia="en-US"/>
        </w:rPr>
        <w:t xml:space="preserve">ь</w:t>
      </w:r>
      <w:r>
        <w:rPr>
          <w:szCs w:val="28"/>
        </w:rPr>
        <w:t xml:space="preserve"> перед бюджетом муниципального образования;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_DdeLink__190_3904629729"/>
      <w:r/>
      <w:bookmarkStart w:id="3" w:name="__DdeLink__204_3904629729"/>
      <w:r>
        <w:rPr>
          <w:rFonts w:ascii="Times New Roman" w:hAnsi="Times New Roman"/>
          <w:sz w:val="28"/>
          <w:szCs w:val="28"/>
        </w:rPr>
        <w:t xml:space="preserve">не должен являться</w:t>
      </w:r>
      <w:bookmarkEnd w:id="3"/>
      <w:r>
        <w:rPr>
          <w:rFonts w:ascii="Times New Roman" w:hAnsi="Times New Roman"/>
          <w:sz w:val="28"/>
          <w:szCs w:val="28"/>
        </w:rPr>
        <w:t xml:space="preserve"> иностранным юридическим лицом или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иностранным гражданином</w:t>
      </w:r>
      <w:r>
        <w:rPr>
          <w:rFonts w:ascii="Times New Roman" w:hAnsi="Times New Roman"/>
          <w:sz w:val="28"/>
          <w:szCs w:val="28"/>
        </w:rPr>
        <w:t xml:space="preserve">, лицом без гражданства, а также не должен являться российским юридическим лицом, в уставном (складочном) капитале котор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присутствует доля участия иностранных юридических</w:t>
      </w:r>
      <w:bookmarkEnd w:id="2"/>
      <w:r>
        <w:rPr>
          <w:rFonts w:ascii="Times New Roman" w:hAnsi="Times New Roman"/>
          <w:sz w:val="28"/>
          <w:szCs w:val="28"/>
        </w:rPr>
        <w:t xml:space="preserve"> лиц, иностранных граждан, лиц без гражданства;</w:t>
      </w:r>
      <w:r/>
    </w:p>
    <w:p>
      <w:pPr>
        <w:pStyle w:val="657"/>
        <w:ind w:firstLine="709"/>
        <w:jc w:val="both"/>
        <w:spacing w:before="0"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7) в реестре дисквалифицированных лиц отсутствуют сведения о дисквалифицированных </w:t>
      </w:r>
      <w:bookmarkStart w:id="4" w:name="__DdeLink__192_3904629729"/>
      <w:r>
        <w:rPr>
          <w:rFonts w:ascii="Times New Roman" w:hAnsi="Times New Roman"/>
          <w:sz w:val="28"/>
          <w:szCs w:val="28"/>
        </w:rPr>
        <w:t xml:space="preserve">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заявителя-</w:t>
      </w:r>
      <w:r>
        <w:rPr>
          <w:rFonts w:ascii="Times New Roman" w:hAnsi="Times New Roman"/>
          <w:sz w:val="28"/>
          <w:szCs w:val="28"/>
        </w:rPr>
        <w:t xml:space="preserve"> юридического 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bookmarkEnd w:id="4"/>
      <w:r>
        <w:rPr>
          <w:rFonts w:ascii="Times New Roman" w:hAnsi="Times New Roman"/>
          <w:sz w:val="28"/>
          <w:szCs w:val="28"/>
        </w:rPr>
        <w:t xml:space="preserve">, о дисквалифицированном заявителе -  индивидуальном предпринимателе;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8) заявитель ранее не признавался допустившим нарушение порядка и условий оказания муниципальной поддержки (предоставления муниципальной преференции);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9) заявитель не находится в реестре недобросовестных поставщиков (подрядчиков, исполнителей) в связи с отказом от исполнения государственных (муниципальных) контрактов о поставке товаров, выполнении работ, оказании услуг;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10) </w:t>
      </w:r>
      <w:bookmarkStart w:id="5" w:name="__DdeLink__198_3904629729"/>
      <w:r>
        <w:rPr>
          <w:rFonts w:ascii="Times New Roman" w:hAnsi="Times New Roman"/>
          <w:sz w:val="28"/>
          <w:szCs w:val="28"/>
        </w:rPr>
        <w:t xml:space="preserve">заявитель - индивидуальный предприниматель</w:t>
      </w:r>
      <w:bookmarkEnd w:id="5"/>
      <w:r>
        <w:rPr>
          <w:rFonts w:ascii="Times New Roman" w:hAnsi="Times New Roman"/>
          <w:sz w:val="28"/>
          <w:szCs w:val="28"/>
        </w:rPr>
        <w:t xml:space="preserve"> </w:t>
      </w:r>
      <w:bookmarkStart w:id="6" w:name="__DdeLink__409_2329653683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имеет судимости</w:t>
      </w:r>
      <w:bookmarkEnd w:id="6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фактов уголовного преследования,</w:t>
      </w:r>
      <w:r>
        <w:rPr>
          <w:rFonts w:ascii="Times New Roman" w:hAnsi="Times New Roman"/>
          <w:sz w:val="28"/>
          <w:szCs w:val="28"/>
        </w:rPr>
        <w:t xml:space="preserve"> р</w:t>
      </w:r>
      <w:bookmarkStart w:id="7" w:name="__DdeLink__202_3904629729"/>
      <w:r>
        <w:rPr>
          <w:rFonts w:ascii="Times New Roman" w:hAnsi="Times New Roman"/>
          <w:sz w:val="28"/>
          <w:szCs w:val="28"/>
        </w:rPr>
        <w:t xml:space="preserve">уководител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 (лицо, осуществляющее функции единоличного исполнительного органа)</w:t>
      </w:r>
      <w:r>
        <w:rPr>
          <w:rFonts w:ascii="Times New Roman" w:hAnsi="Times New Roman"/>
          <w:sz w:val="28"/>
          <w:szCs w:val="28"/>
        </w:rPr>
        <w:t xml:space="preserve">, физические лица - учредители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 -</w:t>
      </w:r>
      <w:r>
        <w:rPr>
          <w:rFonts w:ascii="Times New Roman" w:hAnsi="Times New Roman"/>
          <w:sz w:val="28"/>
          <w:szCs w:val="28"/>
        </w:rPr>
        <w:t xml:space="preserve"> юридического 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bookmarkEnd w:id="7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bookmarkStart w:id="8" w:name="__DdeLink__196_3904629729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имеют судимости</w:t>
      </w:r>
      <w:bookmarkEnd w:id="8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фактов уголовного преследования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11) заявитель не включен в </w:t>
      </w:r>
      <w:bookmarkStart w:id="9" w:name="__DdeLink__411_2329653683"/>
      <w:r/>
      <w:bookmarkStart w:id="10" w:name="__DdeLink__194_3904629729"/>
      <w:r>
        <w:rPr>
          <w:rFonts w:ascii="Times New Roman" w:hAnsi="Times New Roman"/>
          <w:sz w:val="28"/>
          <w:szCs w:val="28"/>
        </w:rPr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bookmarkEnd w:id="9"/>
      <w:r>
        <w:rPr>
          <w:rFonts w:ascii="Times New Roman" w:hAnsi="Times New Roman"/>
          <w:sz w:val="28"/>
          <w:szCs w:val="28"/>
        </w:rPr>
        <w:t xml:space="preserve">, либо в перечень организаций или физических лиц, в отношении которых имеются сведения об их причастности к распространению оружия.</w:t>
      </w:r>
      <w:bookmarkEnd w:id="10"/>
      <w:r/>
      <w:r/>
    </w:p>
    <w:p>
      <w:pPr>
        <w:pStyle w:val="657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ab/>
        <w:t xml:space="preserve">Для получения имущест</w:t>
      </w:r>
      <w:r>
        <w:rPr>
          <w:rFonts w:ascii="Times New Roman" w:hAnsi="Times New Roman"/>
          <w:sz w:val="28"/>
          <w:szCs w:val="28"/>
        </w:rPr>
        <w:t xml:space="preserve">венной поддержки (муниципальной преференции) в виде передачи имущества – автомагазина в безвозмездное пользование без проведения торгов субъект малого и среднего предпринимательства направляет заявление по установленной форме (форма заявления прилагается).</w:t>
      </w:r>
      <w:r/>
    </w:p>
    <w:p>
      <w:pPr>
        <w:pStyle w:val="657"/>
        <w:ind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К заявлению прилагаются следующие документы:</w:t>
      </w:r>
      <w:r/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- надлежаще заверенные копии учредительных документов заявителя – юридического лица;</w:t>
      </w:r>
      <w:r/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- документы, подтверждающие полномочия руководителя или иного лица, подписавшего заявление, на осуществление действий от имени заявителя – юридического лица;</w:t>
      </w:r>
      <w:r/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- надлежаще заверенная копия документа, удостоверяющего личность заявителя – физического лица, зарегистрированного в качестве индивидуального предпринимателя;</w:t>
      </w:r>
      <w:r/>
    </w:p>
    <w:p>
      <w:pPr>
        <w:pStyle w:val="657"/>
        <w:ind w:left="0" w:firstLine="708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  спр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 w:bidi="ar-SA"/>
        </w:rPr>
        <w:t xml:space="preserve">авка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 , штрафов, процентов;</w:t>
      </w:r>
      <w:r>
        <w:rPr>
          <w:highlight w:val="none"/>
        </w:rPr>
      </w:r>
      <w:r>
        <w:rPr>
          <w:highlight w:val="none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highlight w:val="none"/>
        </w:rPr>
      </w:r>
      <w:bookmarkStart w:id="11" w:name="__DdeLink__200_3904629729"/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 w:bidi="ar-SA"/>
        </w:rPr>
        <w:t xml:space="preserve">- справка об отсутствии (наличии) судимости</w:t>
      </w:r>
      <w:bookmarkEnd w:id="11"/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 w:bidi="ar-SA"/>
        </w:rPr>
        <w:t xml:space="preserve"> заявителя и (или)  факта уголовного преследования либо о прекращении уголовного преследования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 w:bidi="ar-SA"/>
        </w:rPr>
        <w:t xml:space="preserve">в отношении заявителя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 w:bidi="ar-SA"/>
        </w:rPr>
        <w:t xml:space="preserve">- индивидуальн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 w:bidi="ar-SA"/>
        </w:rPr>
        <w:t xml:space="preserve">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 w:bidi="ar-SA"/>
        </w:rPr>
        <w:t xml:space="preserve"> предпринимателя;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- справки об отсутствии (наличии) судимости и (или) факта уголовного преследования либо о прекращении уголовного преследования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в отношении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 руководителя (лица, осуществляющее функции единоличного исполнительного органа), физических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лиц-учредителей  для заявителя - юридического лица.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предоставлении муниципальной преференции отказывается: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если заявление и прилагаемые документы не соответствуют требованиям настоящего извещения;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если заявитель не является лицом, которому в соответствии с настоящим извещением и иными нормативными правовыми актами может быть предоставлена муниципальная преференция;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если по результатам рассмотрения ранее поступившего от другого заявителя заявления о предоставлении муниципальной преференции принято решение о соответствии подавшего такое заявление заявителя и указанного заявления установленным требованиям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предоставления муниципальной преференции.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Заявлени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</w:t>
      </w:r>
      <w:r>
        <w:rPr>
          <w:rFonts w:ascii="Times New Roman" w:hAnsi="Times New Roman"/>
          <w:sz w:val="28"/>
          <w:szCs w:val="24"/>
        </w:rPr>
        <w:t xml:space="preserve">, оформленн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ое</w:t>
      </w:r>
      <w:r>
        <w:rPr>
          <w:rFonts w:ascii="Times New Roman" w:hAnsi="Times New Roman"/>
          <w:sz w:val="28"/>
          <w:szCs w:val="24"/>
        </w:rPr>
        <w:t xml:space="preserve"> по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прилагаемой</w:t>
      </w:r>
      <w:r>
        <w:rPr>
          <w:rFonts w:ascii="Times New Roman" w:hAnsi="Times New Roman"/>
          <w:sz w:val="28"/>
          <w:szCs w:val="24"/>
        </w:rPr>
        <w:t xml:space="preserve"> форме, и прилагаемые к нему документы подаются в </w:t>
      </w:r>
      <w:r>
        <w:rPr>
          <w:rFonts w:ascii="Times New Roman" w:hAnsi="Times New Roman"/>
          <w:sz w:val="28"/>
          <w:szCs w:val="24"/>
          <w:highlight w:val="none"/>
        </w:rPr>
        <w:t xml:space="preserve">МКУ «АХС Ровеньского района»</w:t>
      </w:r>
      <w:r>
        <w:rPr>
          <w:rFonts w:ascii="Times New Roman" w:hAnsi="Times New Roman"/>
          <w:sz w:val="28"/>
          <w:szCs w:val="24"/>
          <w:highlight w:val="none"/>
        </w:rPr>
        <w:t xml:space="preserve"> по адресу: Белгородская область, п.Ровеньки, ул.Ленина, д.52, 2 этаж, ответственное лицо – </w:t>
      </w:r>
      <w:r>
        <w:rPr>
          <w:rFonts w:ascii="Times New Roman" w:hAnsi="Times New Roman"/>
          <w:sz w:val="28"/>
          <w:szCs w:val="24"/>
          <w:highlight w:val="none"/>
        </w:rPr>
        <w:t xml:space="preserve">Письменная Марина Ивановна</w:t>
      </w:r>
      <w:r>
        <w:rPr>
          <w:rFonts w:ascii="Times New Roman" w:hAnsi="Times New Roman"/>
          <w:sz w:val="28"/>
          <w:szCs w:val="16"/>
          <w:highlight w:val="none"/>
        </w:rPr>
        <w:t xml:space="preserve">, телефон 8(47238)5-50-25</w:t>
      </w:r>
      <w:r>
        <w:rPr>
          <w:rFonts w:ascii="Times New Roman" w:hAnsi="Times New Roman"/>
          <w:sz w:val="28"/>
          <w:szCs w:val="16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в рабочие дни с 8 часов 00 минут до 17 часов 00 минут (перерыв с 12 часов 00 минут до 13 часов 00 минут).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подачи заявлений с «01» июля 2025 г. по «31» июля</w:t>
      </w:r>
      <w:r>
        <w:rPr>
          <w:rFonts w:ascii="Times New Roman" w:hAnsi="Times New Roman"/>
          <w:sz w:val="28"/>
          <w:szCs w:val="28"/>
        </w:rPr>
        <w:t xml:space="preserve"> 2025 г. включительно.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согласования времени и места осмотра имущества  заинтересованное лицо может обращаться по тел: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8(47238)5-50-25.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ек</w:t>
      </w:r>
      <w:r>
        <w:rPr>
          <w:rFonts w:ascii="Times New Roman" w:hAnsi="Times New Roman"/>
          <w:sz w:val="28"/>
          <w:szCs w:val="28"/>
        </w:rPr>
        <w:t xml:space="preserve">т договора безвозмездного пользования на 5 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Форма заявления о предоставлении муниципальной </w:t>
      </w:r>
      <w:r>
        <w:rPr>
          <w:rFonts w:ascii="Times New Roman" w:hAnsi="Times New Roman"/>
          <w:sz w:val="28"/>
          <w:szCs w:val="28"/>
        </w:rPr>
        <w:t xml:space="preserve">преференции на 3 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Devanagari">
    <w:panose1 w:val="020B0502040504020204"/>
  </w:font>
  <w:font w:name="Tahoma">
    <w:panose1 w:val="020B0604030504040204"/>
  </w:font>
  <w:font w:name="Calibri Light">
    <w:panose1 w:val="020F0302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90"/>
    <w:uiPriority w:val="99"/>
    <w:unhideWhenUsed/>
    <w:rPr>
      <w:vertAlign w:val="superscript"/>
    </w:rPr>
  </w:style>
  <w:style w:type="character" w:styleId="656">
    <w:name w:val="endnote reference"/>
    <w:basedOn w:val="690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58">
    <w:name w:val="Heading 1"/>
    <w:basedOn w:val="657"/>
    <w:qFormat/>
    <w:pPr>
      <w:ind w:left="93" w:hanging="720"/>
      <w:jc w:val="center"/>
      <w:keepNext/>
      <w:spacing w:before="0" w:after="0" w:line="240" w:lineRule="auto"/>
      <w:tabs>
        <w:tab w:val="left" w:pos="93" w:leader="none"/>
        <w:tab w:val="clear" w:pos="708" w:leader="none"/>
      </w:tabs>
      <w:outlineLvl w:val="0"/>
    </w:pPr>
    <w:rPr>
      <w:rFonts w:ascii="Times New Roman" w:hAnsi="Times New Roman" w:eastAsia="Arial" w:cs="Arial" w:eastAsiaTheme="majorEastAsia" w:cstheme="majorBidi"/>
      <w:b/>
      <w:sz w:val="28"/>
      <w:szCs w:val="20"/>
      <w:lang w:eastAsia="en-US"/>
    </w:rPr>
  </w:style>
  <w:style w:type="paragraph" w:styleId="659">
    <w:name w:val="Heading 2"/>
    <w:basedOn w:val="657"/>
    <w:semiHidden/>
    <w:unhideWhenUsed/>
    <w:qFormat/>
    <w:pPr>
      <w:keepLines/>
      <w:keepNext/>
      <w:spacing w:before="40" w:after="0" w:line="240" w:lineRule="auto"/>
      <w:outlineLvl w:val="1"/>
    </w:pPr>
    <w:rPr>
      <w:rFonts w:ascii="Calibri Light" w:hAnsi="Calibri Light" w:eastAsia="Arial" w:cs="Arial"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60">
    <w:name w:val="Heading 3"/>
    <w:basedOn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90"/>
    <w:uiPriority w:val="99"/>
    <w:rPr>
      <w:color w:val="0563c1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>
    <w:name w:val="Footnote Characters"/>
    <w:basedOn w:val="690"/>
    <w:uiPriority w:val="99"/>
    <w:unhideWhenUsed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>
    <w:name w:val="Endnote Characters"/>
    <w:basedOn w:val="690"/>
    <w:uiPriority w:val="99"/>
    <w:semiHidden/>
    <w:unhideWhenUsed/>
    <w:qFormat/>
    <w:rPr>
      <w:vertAlign w:val="superscript"/>
    </w:rPr>
  </w:style>
  <w:style w:type="character" w:styleId="672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4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0"/>
    <w:uiPriority w:val="10"/>
    <w:qFormat/>
    <w:rPr>
      <w:sz w:val="48"/>
      <w:szCs w:val="48"/>
    </w:rPr>
  </w:style>
  <w:style w:type="character" w:styleId="682">
    <w:name w:val="Subtitle Char"/>
    <w:basedOn w:val="690"/>
    <w:uiPriority w:val="11"/>
    <w:qFormat/>
    <w:rPr>
      <w:sz w:val="24"/>
      <w:szCs w:val="24"/>
    </w:rPr>
  </w:style>
  <w:style w:type="character" w:styleId="683">
    <w:name w:val="Quote Char"/>
    <w:uiPriority w:val="29"/>
    <w:qFormat/>
    <w:rPr>
      <w:i/>
    </w:rPr>
  </w:style>
  <w:style w:type="character" w:styleId="684">
    <w:name w:val="Intense Quote Char"/>
    <w:uiPriority w:val="30"/>
    <w:qFormat/>
    <w:rPr>
      <w:i/>
    </w:rPr>
  </w:style>
  <w:style w:type="character" w:styleId="685">
    <w:name w:val="Header Char"/>
    <w:basedOn w:val="690"/>
    <w:uiPriority w:val="99"/>
    <w:qFormat/>
  </w:style>
  <w:style w:type="character" w:styleId="686">
    <w:name w:val="Footer Char"/>
    <w:basedOn w:val="690"/>
    <w:uiPriority w:val="99"/>
    <w:qFormat/>
  </w:style>
  <w:style w:type="character" w:styleId="687">
    <w:name w:val="Caption Char"/>
    <w:uiPriority w:val="99"/>
    <w:qFormat/>
  </w:style>
  <w:style w:type="character" w:styleId="688">
    <w:name w:val="Footnote Text Char"/>
    <w:uiPriority w:val="99"/>
    <w:qFormat/>
    <w:rPr>
      <w:sz w:val="18"/>
    </w:rPr>
  </w:style>
  <w:style w:type="character" w:styleId="689">
    <w:name w:val="Endnote Text Char"/>
    <w:uiPriority w:val="99"/>
    <w:qFormat/>
    <w:rPr>
      <w:sz w:val="20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1 Знак"/>
    <w:basedOn w:val="690"/>
    <w:qFormat/>
    <w:rPr>
      <w:rFonts w:eastAsia="Arial" w:cs="Arial" w:eastAsiaTheme="majorEastAsia" w:cstheme="majorBidi"/>
      <w:b/>
      <w:sz w:val="24"/>
      <w:szCs w:val="24"/>
      <w:lang w:eastAsia="ru-RU"/>
    </w:rPr>
  </w:style>
  <w:style w:type="character" w:styleId="692" w:customStyle="1">
    <w:name w:val="Заголовок 2 Знак"/>
    <w:basedOn w:val="690"/>
    <w:semiHidden/>
    <w:qFormat/>
    <w:rPr>
      <w:rFonts w:ascii="Calibri Light" w:hAnsi="Calibri Light" w:eastAsia="Arial" w:cs="Arial"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Tahoma" w:hAnsi="Tahoma" w:cs="Tahoma"/>
      <w:sz w:val="24"/>
      <w:szCs w:val="16"/>
    </w:rPr>
  </w:style>
  <w:style w:type="character" w:styleId="694" w:customStyle="1">
    <w:name w:val="Основной текст (2)_"/>
    <w:qFormat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695" w:customStyle="1">
    <w:name w:val="Текст примечания Знак"/>
    <w:basedOn w:val="690"/>
    <w:qFormat/>
    <w:rPr>
      <w:sz w:val="20"/>
      <w:szCs w:val="20"/>
      <w:lang w:eastAsia="ru-RU"/>
    </w:rPr>
  </w:style>
  <w:style w:type="character" w:styleId="696">
    <w:name w:val="annotation reference"/>
    <w:basedOn w:val="690"/>
    <w:qFormat/>
    <w:rPr>
      <w:sz w:val="16"/>
      <w:szCs w:val="16"/>
    </w:rPr>
  </w:style>
  <w:style w:type="character" w:styleId="697">
    <w:name w:val="Посещённая гиперссылка"/>
    <w:basedOn w:val="690"/>
    <w:rPr>
      <w:color w:val="954f72" w:themeColor="followedHyperlink"/>
      <w:u w:val="single"/>
    </w:rPr>
  </w:style>
  <w:style w:type="character" w:styleId="698" w:customStyle="1">
    <w:name w:val="Тема примечания Знак"/>
    <w:basedOn w:val="695"/>
    <w:qFormat/>
    <w:rPr>
      <w:b/>
      <w:bCs/>
      <w:sz w:val="20"/>
      <w:szCs w:val="20"/>
      <w:lang w:eastAsia="ru-RU"/>
    </w:rPr>
  </w:style>
  <w:style w:type="character" w:styleId="699">
    <w:name w:val="Strong"/>
    <w:qFormat/>
    <w:rPr>
      <w:b/>
      <w:bCs/>
    </w:rPr>
  </w:style>
  <w:style w:type="character" w:styleId="700" w:customStyle="1">
    <w:name w:val="Unresolved Mention"/>
    <w:basedOn w:val="690"/>
    <w:uiPriority w:val="99"/>
    <w:semiHidden/>
    <w:unhideWhenUsed/>
    <w:qFormat/>
    <w:rPr>
      <w:color w:val="605e5c"/>
      <w:shd w:val="clear" w:color="auto" w:fill="e1dfdd"/>
    </w:rPr>
  </w:style>
  <w:style w:type="paragraph" w:styleId="701">
    <w:name w:val="Заголовок"/>
    <w:basedOn w:val="657"/>
    <w:next w:val="70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02">
    <w:name w:val="Body Text"/>
    <w:basedOn w:val="657"/>
    <w:pPr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ahoma" w:cs="Noto Sans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ar-SA"/>
    </w:rPr>
  </w:style>
  <w:style w:type="paragraph" w:styleId="703">
    <w:name w:val="List"/>
    <w:basedOn w:val="702"/>
    <w:rPr>
      <w:rFonts w:ascii="PT Astra Serif" w:hAnsi="PT Astra Serif" w:cs="Noto Sans Devanagari"/>
    </w:rPr>
  </w:style>
  <w:style w:type="paragraph" w:styleId="704">
    <w:name w:val="Caption"/>
    <w:basedOn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5">
    <w:name w:val="Указатель"/>
    <w:basedOn w:val="657"/>
    <w:qFormat/>
    <w:pPr>
      <w:suppressLineNumbers/>
    </w:pPr>
    <w:rPr>
      <w:rFonts w:ascii="PT Astra Serif" w:hAnsi="PT Astra Serif" w:cs="Noto Sans Devanagari"/>
    </w:rPr>
  </w:style>
  <w:style w:type="paragraph" w:styleId="706">
    <w:name w:val="Title"/>
    <w:basedOn w:val="65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7">
    <w:name w:val="Subtitle"/>
    <w:basedOn w:val="657"/>
    <w:uiPriority w:val="11"/>
    <w:qFormat/>
    <w:pPr>
      <w:spacing w:before="200" w:after="200"/>
    </w:pPr>
    <w:rPr>
      <w:sz w:val="24"/>
      <w:szCs w:val="24"/>
    </w:rPr>
  </w:style>
  <w:style w:type="paragraph" w:styleId="708">
    <w:name w:val="Quote"/>
    <w:basedOn w:val="657"/>
    <w:uiPriority w:val="29"/>
    <w:qFormat/>
    <w:pPr>
      <w:ind w:left="720" w:right="720" w:firstLine="0"/>
    </w:pPr>
    <w:rPr>
      <w:i/>
    </w:rPr>
  </w:style>
  <w:style w:type="paragraph" w:styleId="709">
    <w:name w:val="Intense Quote"/>
    <w:basedOn w:val="65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0">
    <w:name w:val="Верхний и нижний колонтитулы"/>
    <w:basedOn w:val="657"/>
    <w:qFormat/>
  </w:style>
  <w:style w:type="paragraph" w:styleId="711">
    <w:name w:val="Header"/>
    <w:basedOn w:val="65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2">
    <w:name w:val="Footer"/>
    <w:basedOn w:val="65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3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4">
    <w:name w:val="endnote text"/>
    <w:basedOn w:val="65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5">
    <w:name w:val="toc 1"/>
    <w:basedOn w:val="657"/>
    <w:uiPriority w:val="39"/>
    <w:unhideWhenUsed/>
    <w:pPr>
      <w:ind w:left="0" w:right="0" w:firstLine="0"/>
      <w:spacing w:before="0" w:after="57"/>
    </w:pPr>
  </w:style>
  <w:style w:type="paragraph" w:styleId="716">
    <w:name w:val="toc 2"/>
    <w:basedOn w:val="657"/>
    <w:uiPriority w:val="39"/>
    <w:unhideWhenUsed/>
    <w:pPr>
      <w:ind w:left="283" w:right="0" w:firstLine="0"/>
      <w:spacing w:before="0" w:after="57"/>
    </w:pPr>
  </w:style>
  <w:style w:type="paragraph" w:styleId="717">
    <w:name w:val="toc 3"/>
    <w:basedOn w:val="657"/>
    <w:uiPriority w:val="39"/>
    <w:unhideWhenUsed/>
    <w:pPr>
      <w:ind w:left="567" w:right="0" w:firstLine="0"/>
      <w:spacing w:before="0" w:after="57"/>
    </w:pPr>
  </w:style>
  <w:style w:type="paragraph" w:styleId="718">
    <w:name w:val="toc 4"/>
    <w:basedOn w:val="657"/>
    <w:uiPriority w:val="39"/>
    <w:unhideWhenUsed/>
    <w:pPr>
      <w:ind w:left="850" w:right="0" w:firstLine="0"/>
      <w:spacing w:before="0" w:after="57"/>
    </w:pPr>
  </w:style>
  <w:style w:type="paragraph" w:styleId="719">
    <w:name w:val="toc 5"/>
    <w:basedOn w:val="657"/>
    <w:uiPriority w:val="39"/>
    <w:unhideWhenUsed/>
    <w:pPr>
      <w:ind w:left="1134" w:right="0" w:firstLine="0"/>
      <w:spacing w:before="0" w:after="57"/>
    </w:pPr>
  </w:style>
  <w:style w:type="paragraph" w:styleId="720">
    <w:name w:val="toc 6"/>
    <w:basedOn w:val="657"/>
    <w:uiPriority w:val="39"/>
    <w:unhideWhenUsed/>
    <w:pPr>
      <w:ind w:left="1417" w:right="0" w:firstLine="0"/>
      <w:spacing w:before="0" w:after="57"/>
    </w:pPr>
  </w:style>
  <w:style w:type="paragraph" w:styleId="721">
    <w:name w:val="toc 7"/>
    <w:basedOn w:val="657"/>
    <w:uiPriority w:val="39"/>
    <w:unhideWhenUsed/>
    <w:pPr>
      <w:ind w:left="1701" w:right="0" w:firstLine="0"/>
      <w:spacing w:before="0" w:after="57"/>
    </w:pPr>
  </w:style>
  <w:style w:type="paragraph" w:styleId="722">
    <w:name w:val="toc 8"/>
    <w:basedOn w:val="657"/>
    <w:uiPriority w:val="39"/>
    <w:unhideWhenUsed/>
    <w:pPr>
      <w:ind w:left="1984" w:right="0" w:firstLine="0"/>
      <w:spacing w:before="0" w:after="57"/>
    </w:pPr>
  </w:style>
  <w:style w:type="paragraph" w:styleId="723">
    <w:name w:val="toc 9"/>
    <w:basedOn w:val="657"/>
    <w:uiPriority w:val="39"/>
    <w:unhideWhenUsed/>
    <w:pPr>
      <w:ind w:left="2268" w:right="0" w:firstLine="0"/>
      <w:spacing w:before="0" w:after="57"/>
    </w:pPr>
  </w:style>
  <w:style w:type="paragraph" w:styleId="72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Calibri" w:cs="Times New Roman" w:eastAsiaTheme="minorHAnsi"/>
      <w:color w:val="auto"/>
      <w:sz w:val="22"/>
      <w:szCs w:val="20"/>
      <w:lang w:val="ru-RU" w:eastAsia="en-US" w:bidi="ar-SA"/>
    </w:rPr>
  </w:style>
  <w:style w:type="paragraph" w:styleId="725">
    <w:name w:val="table of figures"/>
    <w:basedOn w:val="657"/>
    <w:uiPriority w:val="99"/>
    <w:unhideWhenUsed/>
    <w:qFormat/>
    <w:pPr>
      <w:spacing w:before="0" w:after="0" w:afterAutospacing="0"/>
    </w:pPr>
  </w:style>
  <w:style w:type="paragraph" w:styleId="726">
    <w:name w:val="Balloon Text"/>
    <w:basedOn w:val="657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24"/>
      <w:szCs w:val="16"/>
    </w:rPr>
  </w:style>
  <w:style w:type="paragraph" w:styleId="727" w:customStyle="1">
    <w:name w:val="ConsPlusNormal"/>
    <w:qFormat/>
    <w:pPr>
      <w:jc w:val="left"/>
      <w:spacing w:before="0" w:after="0"/>
      <w:widowControl w:val="off"/>
    </w:pPr>
    <w:rPr>
      <w:rFonts w:ascii="Calibri" w:hAnsi="Calibri" w:eastAsia="Calibri" w:cs="Calibri" w:eastAsiaTheme="minorHAnsi"/>
      <w:color w:val="auto"/>
      <w:sz w:val="22"/>
      <w:szCs w:val="20"/>
      <w:lang w:val="ru-RU" w:eastAsia="ru-RU" w:bidi="ar-SA"/>
    </w:rPr>
  </w:style>
  <w:style w:type="paragraph" w:styleId="728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729" w:customStyle="1">
    <w:name w:val="Основной текст (2)"/>
    <w:basedOn w:val="657"/>
    <w:qFormat/>
    <w:pPr>
      <w:ind w:hanging="420"/>
      <w:jc w:val="center"/>
      <w:spacing w:before="0" w:after="180"/>
      <w:shd w:val="clear" w:color="auto" w:fill="ffffff"/>
      <w:widowControl w:val="off"/>
    </w:pPr>
    <w:rPr>
      <w:rFonts w:ascii="Times New Roman" w:hAnsi="Times New Roman"/>
      <w:sz w:val="28"/>
      <w:szCs w:val="20"/>
      <w:lang w:eastAsia="en-US"/>
    </w:rPr>
  </w:style>
  <w:style w:type="paragraph" w:styleId="730">
    <w:name w:val="annotation text"/>
    <w:basedOn w:val="657"/>
    <w:qFormat/>
    <w:pPr>
      <w:spacing w:before="0" w:after="0" w:line="240" w:lineRule="auto"/>
    </w:pPr>
    <w:rPr>
      <w:rFonts w:ascii="Times New Roman" w:hAnsi="Times New Roman" w:eastAsia="Calibri" w:eastAsiaTheme="minorHAnsi"/>
      <w:sz w:val="28"/>
      <w:szCs w:val="20"/>
      <w:lang w:eastAsia="en-US"/>
    </w:rPr>
  </w:style>
  <w:style w:type="paragraph" w:styleId="731">
    <w:name w:val="annotation subject"/>
    <w:basedOn w:val="730"/>
    <w:qFormat/>
    <w:rPr>
      <w:b/>
      <w:bCs/>
    </w:rPr>
  </w:style>
  <w:style w:type="paragraph" w:styleId="73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ru-RU" w:bidi="ar-SA"/>
    </w:rPr>
  </w:style>
  <w:style w:type="paragraph" w:styleId="733">
    <w:name w:val="List Paragraph"/>
    <w:basedOn w:val="657"/>
    <w:uiPriority w:val="34"/>
    <w:qFormat/>
    <w:pPr>
      <w:contextualSpacing/>
      <w:ind w:left="720" w:firstLine="0"/>
      <w:spacing w:before="0" w:after="0" w:line="240" w:lineRule="auto"/>
    </w:pPr>
    <w:rPr>
      <w:rFonts w:ascii="Times New Roman" w:hAnsi="Times New Roman" w:eastAsia="Calibri" w:eastAsiaTheme="minorHAnsi"/>
      <w:sz w:val="28"/>
      <w:szCs w:val="20"/>
      <w:lang w:eastAsia="en-US"/>
    </w:rPr>
  </w:style>
  <w:style w:type="paragraph" w:styleId="734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Calibri" w:cs="Calibri" w:eastAsiaTheme="minorHAnsi"/>
      <w:b/>
      <w:color w:val="auto"/>
      <w:sz w:val="22"/>
      <w:szCs w:val="20"/>
      <w:lang w:val="ru-RU" w:eastAsia="ru-RU" w:bidi="ar-SA"/>
    </w:rPr>
  </w:style>
  <w:style w:type="paragraph" w:styleId="735" w:customStyle="1">
    <w:name w:val="Абзац списка1"/>
    <w:basedOn w:val="657"/>
    <w:qFormat/>
    <w:pPr>
      <w:contextualSpacing/>
      <w:ind w:left="720" w:firstLine="0"/>
      <w:spacing w:before="0" w:after="200"/>
    </w:pPr>
    <w:rPr>
      <w:lang w:eastAsia="en-US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37fc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1" w:themeFillTint="75"/>
      </w:tcPr>
    </w:tblStylePr>
    <w:tblStylePr w:type="band1Vert">
      <w:tcPr>
        <w:shd w:val="clear" w:color="ffffff" w:fill="aabfe3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cPr>
        <w:shd w:val="clear" w:color="ffffff" w:fill="4472c4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5" w:themeFillTint="75"/>
      </w:tcPr>
    </w:tblStylePr>
    <w:tblStylePr w:type="band1Vert">
      <w:tcPr>
        <w:shd w:val="clear" w:color="ffffff" w:fill="b4d2eb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cPr>
        <w:shd w:val="clear" w:color="ffffff" w:fill="5b9bd5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664a9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color w:val="3664a9" w:themeColor="accent1" w:themeTint="80" w:themeShade="95"/>
        <w:sz w:val="22"/>
      </w:rPr>
    </w:tblStylePr>
    <w:tblStylePr w:type="firstCol">
      <w:rPr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45d8d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color w:val="245d8d" w:themeColor="accent5" w:themeShade="95"/>
        <w:sz w:val="22"/>
      </w:rPr>
    </w:tblStylePr>
    <w:tblStylePr w:type="firstCol">
      <w:rPr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cc4e5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54374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color w:val="254374" w:themeColor="accent1" w:themeShade="95"/>
        <w:sz w:val="22"/>
      </w:rPr>
    </w:tblStylePr>
    <w:tblStylePr w:type="firstCol">
      <w:rPr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54374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2e78b1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color w:val="2e78b1" w:themeColor="accent5" w:themeTint="9A" w:themeShade="95"/>
        <w:sz w:val="22"/>
      </w:rPr>
    </w:tblStylePr>
    <w:tblStylePr w:type="firstCol">
      <w:rPr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e78b1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cPr>
        <w:shd w:val="clear" w:color="ffffff" w:fill="5b9bd5" w:themeFill="accent5"/>
      </w:tcPr>
    </w:tblStylePr>
    <w:tblStylePr w:type="firstRow">
      <w:rPr>
        <w:color w:val="f2f2f2"/>
        <w:sz w:val="22"/>
      </w:rPr>
      <w:tcPr>
        <w:shd w:val="clear" w:color="ffffff" w:fill="5b9bd5" w:themeFill="accent5"/>
      </w:tcPr>
    </w:tblStylePr>
    <w:tblStylePr w:type="lastCol">
      <w:rPr>
        <w:color w:val="f2f2f2"/>
        <w:sz w:val="22"/>
      </w:rPr>
      <w:tcPr>
        <w:shd w:val="clear" w:color="ffffff" w:fill="5b9bd5" w:themeFill="accent5"/>
      </w:tcPr>
    </w:tblStylePr>
    <w:tblStylePr w:type="lastRow">
      <w:rPr>
        <w:color w:val="f2f2f2"/>
        <w:sz w:val="22"/>
      </w:rPr>
      <w:tcPr>
        <w:shd w:val="clear" w:color="ffffff" w:fill="5b9bd5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cPr>
        <w:shd w:val="clear" w:color="ffffff" w:fill="5b9bd5" w:themeFill="accent5"/>
      </w:tcPr>
    </w:tblStylePr>
    <w:tblStylePr w:type="firstRow">
      <w:rPr>
        <w:color w:val="f2f2f2"/>
        <w:sz w:val="22"/>
      </w:rPr>
      <w:tcPr>
        <w:shd w:val="clear" w:color="ffffff" w:fill="5b9bd5" w:themeFill="accent5"/>
      </w:tcPr>
    </w:tblStylePr>
    <w:tblStylePr w:type="lastCol">
      <w:rPr>
        <w:color w:val="f2f2f2"/>
        <w:sz w:val="22"/>
      </w:rPr>
      <w:tcPr>
        <w:shd w:val="clear" w:color="ffffff" w:fill="5b9bd5" w:themeFill="accent5"/>
      </w:tcPr>
    </w:tblStylePr>
    <w:tblStylePr w:type="lastRow">
      <w:rPr>
        <w:color w:val="f2f2f2"/>
        <w:sz w:val="22"/>
      </w:rPr>
      <w:tcPr>
        <w:shd w:val="clear" w:color="ffffff" w:fill="5b9bd5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dc:language>ru-RU</dc:language>
  <cp:revision>26</cp:revision>
  <dcterms:created xsi:type="dcterms:W3CDTF">2023-10-26T14:26:00Z</dcterms:created>
  <dcterms:modified xsi:type="dcterms:W3CDTF">2025-07-01T06:23:50Z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