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9"/>
        <w:jc w:val="center"/>
        <w:rPr>
          <w:b/>
          <w:sz w:val="28"/>
          <w:szCs w:val="28"/>
        </w:rPr>
      </w:pPr>
      <w:r>
        <w:rPr>
          <w:b/>
          <w:sz w:val="28"/>
          <w:szCs w:val="28"/>
        </w:rPr>
        <w:t xml:space="preserve">Развитие потребительского рынка</w:t>
      </w:r>
      <w:r>
        <w:rPr>
          <w:b/>
          <w:sz w:val="28"/>
          <w:szCs w:val="28"/>
        </w:rPr>
        <w:t xml:space="preserve"> по состоянию на 01.0</w:t>
      </w:r>
      <w:r>
        <w:rPr>
          <w:b/>
          <w:sz w:val="28"/>
          <w:szCs w:val="28"/>
        </w:rPr>
        <w:t xml:space="preserve">1</w:t>
      </w:r>
      <w:r>
        <w:rPr>
          <w:b/>
          <w:sz w:val="28"/>
          <w:szCs w:val="28"/>
        </w:rPr>
        <w:t xml:space="preserve">.20</w:t>
      </w:r>
      <w:r>
        <w:rPr>
          <w:b/>
          <w:sz w:val="28"/>
          <w:szCs w:val="28"/>
        </w:rPr>
        <w:t xml:space="preserve">24</w:t>
      </w:r>
      <w:r>
        <w:rPr>
          <w:b/>
          <w:sz w:val="28"/>
          <w:szCs w:val="28"/>
        </w:rPr>
        <w:t xml:space="preserve"> </w:t>
      </w:r>
      <w:r>
        <w:rPr>
          <w:b/>
          <w:sz w:val="28"/>
          <w:szCs w:val="28"/>
        </w:rPr>
        <w:t xml:space="preserve">г.</w:t>
      </w:r>
      <w:r>
        <w:rPr>
          <w:b/>
          <w:sz w:val="28"/>
          <w:szCs w:val="28"/>
        </w:rPr>
      </w:r>
    </w:p>
    <w:p>
      <w:pPr>
        <w:rPr>
          <w:b/>
          <w:sz w:val="28"/>
          <w:szCs w:val="28"/>
        </w:rPr>
      </w:pPr>
      <w:r>
        <w:rPr>
          <w:b/>
          <w:sz w:val="28"/>
          <w:szCs w:val="28"/>
        </w:rPr>
      </w:r>
      <w:r>
        <w:rPr>
          <w:b/>
          <w:sz w:val="28"/>
          <w:szCs w:val="28"/>
        </w:rPr>
      </w:r>
    </w:p>
    <w:p>
      <w:pPr>
        <w:jc w:val="both"/>
        <w:rPr>
          <w:sz w:val="28"/>
          <w:szCs w:val="28"/>
          <w:highlight w:val="none"/>
        </w:rPr>
      </w:pPr>
      <w:r>
        <w:rPr>
          <w:sz w:val="24"/>
          <w:szCs w:val="24"/>
        </w:rPr>
        <w:t xml:space="preserve">    </w:t>
      </w:r>
      <w:r>
        <w:rPr>
          <w:sz w:val="28"/>
          <w:szCs w:val="28"/>
        </w:rPr>
        <w:t xml:space="preserve">По состоянию на 1</w:t>
      </w:r>
      <w:r>
        <w:rPr>
          <w:sz w:val="28"/>
          <w:szCs w:val="28"/>
        </w:rPr>
        <w:t xml:space="preserve"> января</w:t>
      </w:r>
      <w:r>
        <w:rPr>
          <w:sz w:val="28"/>
          <w:szCs w:val="28"/>
        </w:rPr>
        <w:t xml:space="preserve"> </w:t>
      </w:r>
      <w:r>
        <w:rPr>
          <w:sz w:val="28"/>
          <w:szCs w:val="28"/>
        </w:rPr>
        <w:t xml:space="preserve"> 20</w:t>
      </w:r>
      <w:r>
        <w:rPr>
          <w:sz w:val="28"/>
          <w:szCs w:val="28"/>
        </w:rPr>
        <w:t xml:space="preserve">24</w:t>
      </w:r>
      <w:r>
        <w:rPr>
          <w:sz w:val="28"/>
          <w:szCs w:val="28"/>
        </w:rPr>
        <w:t xml:space="preserve"> года на территории </w:t>
      </w:r>
      <w:r>
        <w:rPr>
          <w:sz w:val="28"/>
          <w:szCs w:val="28"/>
        </w:rPr>
        <w:t xml:space="preserve">Ровеньского</w:t>
      </w:r>
      <w:r>
        <w:rPr>
          <w:sz w:val="28"/>
          <w:szCs w:val="28"/>
        </w:rPr>
        <w:t xml:space="preserve"> района розничную торговлю осуществляли 2</w:t>
      </w:r>
      <w:r>
        <w:rPr>
          <w:sz w:val="28"/>
          <w:szCs w:val="28"/>
        </w:rPr>
        <w:t xml:space="preserve">27</w:t>
      </w:r>
      <w:r>
        <w:rPr>
          <w:sz w:val="28"/>
          <w:szCs w:val="28"/>
        </w:rPr>
        <w:t xml:space="preserve"> </w:t>
      </w:r>
      <w:r>
        <w:rPr>
          <w:sz w:val="28"/>
          <w:szCs w:val="28"/>
        </w:rPr>
        <w:t xml:space="preserve">торгов</w:t>
      </w:r>
      <w:r>
        <w:rPr>
          <w:sz w:val="28"/>
          <w:szCs w:val="28"/>
        </w:rPr>
        <w:t xml:space="preserve">ых</w:t>
      </w:r>
      <w:r>
        <w:rPr>
          <w:sz w:val="28"/>
          <w:szCs w:val="28"/>
        </w:rPr>
        <w:t xml:space="preserve"> предприяти</w:t>
      </w:r>
      <w:r>
        <w:rPr>
          <w:sz w:val="28"/>
          <w:szCs w:val="28"/>
        </w:rPr>
        <w:t xml:space="preserve">я</w:t>
      </w:r>
      <w:r>
        <w:rPr>
          <w:sz w:val="28"/>
          <w:szCs w:val="28"/>
        </w:rPr>
        <w:t xml:space="preserve"> различной формы собственности.  </w:t>
      </w:r>
      <w:r>
        <w:rPr>
          <w:sz w:val="28"/>
          <w:szCs w:val="28"/>
        </w:rPr>
        <w:t xml:space="preserve">Общая площадь стационарных предприятий розничной торговли 21</w:t>
      </w:r>
      <w:r>
        <w:rPr>
          <w:sz w:val="28"/>
          <w:szCs w:val="28"/>
        </w:rPr>
        <w:t xml:space="preserve">188 </w:t>
      </w:r>
      <w:r>
        <w:rPr>
          <w:sz w:val="28"/>
          <w:szCs w:val="28"/>
        </w:rPr>
        <w:t xml:space="preserve">кв.м</w:t>
      </w:r>
      <w:r>
        <w:rPr>
          <w:sz w:val="28"/>
          <w:szCs w:val="28"/>
        </w:rPr>
        <w:t xml:space="preserve">. Количество стационарных предприятий розничной торговли по реализации продовольственной группы товаров 44</w:t>
      </w:r>
      <w:r>
        <w:rPr>
          <w:sz w:val="28"/>
          <w:szCs w:val="28"/>
        </w:rPr>
        <w:t xml:space="preserve"> ед.</w:t>
      </w:r>
      <w:r>
        <w:rPr>
          <w:sz w:val="28"/>
          <w:szCs w:val="28"/>
        </w:rPr>
        <w:t xml:space="preserve"> Количество стационарных предприятий розничной торговли по реализации непродовольственной группы товаров </w:t>
      </w:r>
      <w:r>
        <w:rPr>
          <w:sz w:val="28"/>
          <w:szCs w:val="28"/>
        </w:rPr>
        <w:t xml:space="preserve">1</w:t>
      </w:r>
      <w:r>
        <w:rPr>
          <w:sz w:val="28"/>
          <w:szCs w:val="28"/>
        </w:rPr>
        <w:t xml:space="preserve">44</w:t>
      </w:r>
      <w:r>
        <w:rPr>
          <w:sz w:val="28"/>
          <w:szCs w:val="28"/>
        </w:rPr>
        <w:t xml:space="preserve"> </w:t>
      </w:r>
      <w:r>
        <w:rPr>
          <w:sz w:val="28"/>
          <w:szCs w:val="28"/>
        </w:rPr>
        <w:t xml:space="preserve">(ед.)</w:t>
      </w:r>
      <w:r>
        <w:rPr>
          <w:sz w:val="28"/>
          <w:szCs w:val="28"/>
        </w:rPr>
        <w:t xml:space="preserve">. </w:t>
      </w:r>
      <w:r>
        <w:rPr>
          <w:sz w:val="28"/>
          <w:szCs w:val="28"/>
        </w:rPr>
        <w:t xml:space="preserve"> </w:t>
      </w:r>
      <w:r>
        <w:rPr>
          <w:sz w:val="28"/>
          <w:szCs w:val="28"/>
        </w:rPr>
        <w:t xml:space="preserve">Количество стационарных предприятий розничной торговли по реализации товаров смешанного ассортимента </w:t>
      </w:r>
      <w:r>
        <w:rPr>
          <w:sz w:val="28"/>
          <w:szCs w:val="28"/>
        </w:rPr>
        <w:t xml:space="preserve">16</w:t>
      </w:r>
      <w:r>
        <w:rPr>
          <w:sz w:val="28"/>
          <w:szCs w:val="28"/>
        </w:rPr>
        <w:t xml:space="preserve"> (ед.). Общая численность занятых в отрасли торговли составляет порядка </w:t>
      </w:r>
      <w:r>
        <w:rPr>
          <w:sz w:val="28"/>
          <w:szCs w:val="28"/>
        </w:rPr>
        <w:t xml:space="preserve">513 </w:t>
      </w:r>
      <w:r>
        <w:rPr>
          <w:sz w:val="28"/>
          <w:szCs w:val="28"/>
        </w:rPr>
        <w:t xml:space="preserve">человек.</w:t>
      </w:r>
      <w:r>
        <w:rPr>
          <w:sz w:val="28"/>
          <w:szCs w:val="28"/>
          <w:highlight w:val="none"/>
        </w:rPr>
      </w:r>
    </w:p>
    <w:p>
      <w:pPr>
        <w:jc w:val="both"/>
        <w:rPr>
          <w:sz w:val="28"/>
          <w:szCs w:val="28"/>
        </w:rPr>
      </w:pPr>
      <w:r>
        <w:rPr>
          <w:sz w:val="28"/>
          <w:szCs w:val="28"/>
          <w:highlight w:val="none"/>
        </w:rPr>
        <w:t xml:space="preserve">     Норматив минимальной обеспеченности населения Ровеньского района площадью с</w:t>
      </w:r>
      <w:r>
        <w:rPr>
          <w:sz w:val="28"/>
          <w:szCs w:val="28"/>
          <w:highlight w:val="none"/>
        </w:rPr>
        <w:t xml:space="preserve">тационарных торговых объектов составляет 395,4 кв.м на 1000 человек. Обеспеченность населения Ровеньского района площадью стационарных торговых объектов составила 961 кв.м на 1000 человек, что выше установленного норматива на 565, кв.м на 1000 человек.</w:t>
      </w:r>
      <w:r>
        <w:rPr>
          <w:sz w:val="28"/>
          <w:szCs w:val="28"/>
          <w:highlight w:val="none"/>
        </w:rPr>
      </w:r>
      <w:r>
        <w:rPr>
          <w:sz w:val="28"/>
          <w:szCs w:val="28"/>
        </w:rPr>
      </w:r>
    </w:p>
    <w:p>
      <w:pPr>
        <w:jc w:val="both"/>
        <w:rPr>
          <w:sz w:val="28"/>
          <w:szCs w:val="28"/>
        </w:rPr>
      </w:pPr>
      <w:r>
        <w:rPr>
          <w:sz w:val="28"/>
          <w:szCs w:val="28"/>
        </w:rPr>
        <w:t xml:space="preserve">      </w:t>
      </w:r>
      <w:r>
        <w:rPr>
          <w:sz w:val="28"/>
          <w:szCs w:val="28"/>
          <w:highlight w:val="white"/>
        </w:rPr>
        <w:t xml:space="preserve">По оце</w:t>
      </w:r>
      <w:r>
        <w:rPr>
          <w:sz w:val="28"/>
          <w:szCs w:val="28"/>
          <w:highlight w:val="white"/>
        </w:rPr>
        <w:t xml:space="preserve">нке, розничный товарооборот за </w:t>
      </w:r>
      <w:r>
        <w:rPr>
          <w:sz w:val="28"/>
          <w:szCs w:val="28"/>
          <w:highlight w:val="white"/>
        </w:rPr>
        <w:t xml:space="preserve">  20</w:t>
      </w:r>
      <w:r>
        <w:rPr>
          <w:sz w:val="28"/>
          <w:szCs w:val="28"/>
          <w:highlight w:val="white"/>
        </w:rPr>
        <w:t xml:space="preserve">2</w:t>
      </w:r>
      <w:r>
        <w:rPr>
          <w:sz w:val="28"/>
          <w:szCs w:val="28"/>
          <w:highlight w:val="white"/>
        </w:rPr>
        <w:t xml:space="preserve">3</w:t>
      </w:r>
      <w:r>
        <w:rPr>
          <w:sz w:val="28"/>
          <w:szCs w:val="28"/>
          <w:highlight w:val="white"/>
        </w:rPr>
        <w:t xml:space="preserve"> года составил</w:t>
      </w:r>
      <w:r>
        <w:rPr>
          <w:sz w:val="28"/>
          <w:szCs w:val="28"/>
          <w:highlight w:val="white"/>
        </w:rPr>
        <w:t xml:space="preserve"> </w:t>
      </w:r>
      <w:r>
        <w:rPr>
          <w:sz w:val="28"/>
          <w:szCs w:val="28"/>
          <w:highlight w:val="white"/>
        </w:rPr>
        <w:t xml:space="preserve">3229541,0 тыс.рублей  (127,6 % рост в действующих ценах)</w:t>
      </w:r>
      <w:r>
        <w:rPr>
          <w:sz w:val="28"/>
          <w:szCs w:val="28"/>
          <w:highlight w:val="white"/>
        </w:rPr>
        <w:t xml:space="preserve">.</w:t>
      </w:r>
      <w:r>
        <w:rPr>
          <w:sz w:val="28"/>
          <w:szCs w:val="28"/>
          <w:highlight w:val="white"/>
        </w:rPr>
        <w:t xml:space="preserve">,</w:t>
      </w:r>
      <w:r>
        <w:rPr>
          <w:color w:val="ff0000"/>
          <w:sz w:val="28"/>
          <w:szCs w:val="28"/>
          <w:highlight w:val="white"/>
        </w:rPr>
        <w:t xml:space="preserve"> </w:t>
      </w:r>
      <w:r>
        <w:rPr>
          <w:sz w:val="28"/>
          <w:szCs w:val="28"/>
          <w:highlight w:val="white"/>
        </w:rPr>
        <w:t xml:space="preserve">в т.ч.: крупные и средние предприятия торговли –</w:t>
      </w:r>
      <w:r>
        <w:rPr>
          <w:sz w:val="28"/>
          <w:szCs w:val="28"/>
          <w:highlight w:val="white"/>
        </w:rPr>
        <w:t xml:space="preserve"> 1869796 тыс. рублей, темп роста к уровню 2022 года 145,3% в действующих ценах;</w:t>
      </w:r>
      <w:r>
        <w:rPr>
          <w:color w:val="ff0000"/>
          <w:sz w:val="28"/>
          <w:szCs w:val="28"/>
          <w:highlight w:val="white"/>
        </w:rPr>
        <w:t xml:space="preserve"> </w:t>
      </w:r>
      <w:r>
        <w:rPr>
          <w:sz w:val="28"/>
          <w:szCs w:val="28"/>
          <w:highlight w:val="white"/>
        </w:rPr>
        <w:t xml:space="preserve">малые предприятия торговли  –</w:t>
      </w:r>
      <w:r>
        <w:rPr>
          <w:sz w:val="28"/>
          <w:szCs w:val="28"/>
          <w:highlight w:val="white"/>
        </w:rPr>
        <w:t xml:space="preserve"> </w:t>
      </w:r>
      <w:r>
        <w:rPr>
          <w:sz w:val="28"/>
          <w:szCs w:val="28"/>
          <w:highlight w:val="white"/>
        </w:rPr>
        <w:t xml:space="preserve">710318 тыс.  рублей;</w:t>
      </w:r>
      <w:r>
        <w:rPr>
          <w:color w:val="ff0000"/>
          <w:sz w:val="28"/>
          <w:szCs w:val="28"/>
          <w:highlight w:val="white"/>
        </w:rPr>
        <w:t xml:space="preserve"> </w:t>
      </w:r>
      <w:r>
        <w:rPr>
          <w:sz w:val="28"/>
          <w:szCs w:val="28"/>
          <w:highlight w:val="white"/>
        </w:rPr>
        <w:t xml:space="preserve">темп роста к уровню 2022 года 109,6 % в действующих ценах; индивидуальные предприниматели –</w:t>
      </w:r>
      <w:r>
        <w:rPr>
          <w:sz w:val="28"/>
          <w:szCs w:val="28"/>
          <w:highlight w:val="white"/>
        </w:rPr>
        <w:t xml:space="preserve"> </w:t>
      </w:r>
      <w:r>
        <w:rPr>
          <w:sz w:val="28"/>
          <w:szCs w:val="28"/>
          <w:highlight w:val="white"/>
        </w:rPr>
        <w:t xml:space="preserve">649427 тыс. руб</w:t>
      </w:r>
      <w:r>
        <w:rPr>
          <w:sz w:val="28"/>
          <w:szCs w:val="28"/>
          <w:highlight w:val="white"/>
        </w:rPr>
        <w:t xml:space="preserve">лей, темп роста к уровню 2022 года 108,8 % в действующих ценах. По сравнению с аналогичным периодом прошлого года розничный товарооборот  </w:t>
      </w:r>
      <w:r>
        <w:rPr>
          <w:sz w:val="28"/>
          <w:szCs w:val="28"/>
          <w:highlight w:val="white"/>
        </w:rPr>
        <w:t xml:space="preserve">увеличился на 27,6 %</w:t>
      </w:r>
      <w:r>
        <w:rPr>
          <w:sz w:val="28"/>
          <w:szCs w:val="28"/>
          <w:highlight w:val="white"/>
        </w:rPr>
        <w:t xml:space="preserve"> в </w:t>
      </w:r>
      <w:r>
        <w:rPr>
          <w:sz w:val="28"/>
          <w:szCs w:val="28"/>
        </w:rPr>
        <w:t xml:space="preserve">действующих ценах.  </w:t>
      </w:r>
      <w:r>
        <w:rPr>
          <w:sz w:val="28"/>
          <w:szCs w:val="28"/>
        </w:rPr>
      </w:r>
    </w:p>
    <w:p>
      <w:pPr>
        <w:jc w:val="both"/>
        <w:rPr>
          <w:sz w:val="28"/>
          <w:szCs w:val="28"/>
        </w:rPr>
      </w:pPr>
      <w:r>
        <w:rPr>
          <w:sz w:val="28"/>
          <w:szCs w:val="28"/>
        </w:rPr>
        <w:t xml:space="preserve">     </w:t>
      </w:r>
      <w:r>
        <w:rPr>
          <w:sz w:val="28"/>
          <w:szCs w:val="28"/>
        </w:rPr>
        <w:t xml:space="preserve">Количество предприятий общественного питания на 1</w:t>
      </w:r>
      <w:r>
        <w:rPr>
          <w:sz w:val="28"/>
          <w:szCs w:val="28"/>
        </w:rPr>
        <w:t xml:space="preserve"> января </w:t>
      </w:r>
      <w:r>
        <w:rPr>
          <w:sz w:val="28"/>
          <w:szCs w:val="28"/>
        </w:rPr>
        <w:t xml:space="preserve">20</w:t>
      </w:r>
      <w:r>
        <w:rPr>
          <w:sz w:val="28"/>
          <w:szCs w:val="28"/>
        </w:rPr>
        <w:t xml:space="preserve">2</w:t>
      </w:r>
      <w:r>
        <w:rPr>
          <w:sz w:val="28"/>
          <w:szCs w:val="28"/>
        </w:rPr>
        <w:t xml:space="preserve">3</w:t>
      </w:r>
      <w:r>
        <w:rPr>
          <w:sz w:val="28"/>
          <w:szCs w:val="28"/>
        </w:rPr>
        <w:t xml:space="preserve"> </w:t>
      </w:r>
      <w:r>
        <w:rPr>
          <w:sz w:val="28"/>
          <w:szCs w:val="28"/>
        </w:rPr>
        <w:t xml:space="preserve">года составило </w:t>
      </w:r>
      <w:r>
        <w:rPr>
          <w:sz w:val="28"/>
          <w:szCs w:val="28"/>
        </w:rPr>
        <w:t xml:space="preserve">60</w:t>
      </w:r>
      <w:r>
        <w:rPr>
          <w:sz w:val="28"/>
          <w:szCs w:val="28"/>
        </w:rPr>
        <w:t xml:space="preserve"> единицы, из них: </w:t>
      </w:r>
      <w:r>
        <w:rPr>
          <w:sz w:val="28"/>
          <w:szCs w:val="28"/>
        </w:rPr>
        <w:t xml:space="preserve">29</w:t>
      </w:r>
      <w:r>
        <w:rPr>
          <w:sz w:val="28"/>
          <w:szCs w:val="28"/>
        </w:rPr>
        <w:t xml:space="preserve"> единиц</w:t>
      </w:r>
      <w:r>
        <w:rPr>
          <w:sz w:val="28"/>
          <w:szCs w:val="28"/>
        </w:rPr>
        <w:t xml:space="preserve"> – закрытая сеть (школьные столовые, столовые предприятий и организаций), 31</w:t>
      </w:r>
      <w:r>
        <w:rPr>
          <w:sz w:val="28"/>
          <w:szCs w:val="28"/>
        </w:rPr>
        <w:t xml:space="preserve"> – общедоступная сеть. Число посадочных мест на предприятиях общественного питания </w:t>
      </w:r>
      <w:r>
        <w:rPr>
          <w:sz w:val="28"/>
          <w:szCs w:val="28"/>
        </w:rPr>
        <w:t xml:space="preserve">3</w:t>
      </w:r>
      <w:r>
        <w:rPr>
          <w:sz w:val="28"/>
          <w:szCs w:val="28"/>
        </w:rPr>
        <w:t xml:space="preserve">210</w:t>
      </w:r>
      <w:r>
        <w:rPr>
          <w:sz w:val="28"/>
          <w:szCs w:val="28"/>
        </w:rPr>
        <w:t xml:space="preserve"> ед.</w:t>
      </w:r>
      <w:r>
        <w:rPr>
          <w:color w:val="ff0000"/>
          <w:sz w:val="28"/>
          <w:szCs w:val="28"/>
        </w:rPr>
        <w:t xml:space="preserve"> </w:t>
      </w:r>
      <w:r>
        <w:rPr>
          <w:sz w:val="28"/>
          <w:szCs w:val="28"/>
          <w:highlight w:val="white"/>
        </w:rPr>
        <w:t xml:space="preserve">Оборот обществе</w:t>
      </w:r>
      <w:r>
        <w:rPr>
          <w:sz w:val="28"/>
          <w:szCs w:val="28"/>
          <w:highlight w:val="white"/>
        </w:rPr>
        <w:t xml:space="preserve">нного питания за </w:t>
      </w:r>
      <w:r>
        <w:rPr>
          <w:sz w:val="28"/>
          <w:szCs w:val="28"/>
          <w:highlight w:val="white"/>
        </w:rPr>
        <w:t xml:space="preserve"> 20</w:t>
      </w:r>
      <w:r>
        <w:rPr>
          <w:sz w:val="28"/>
          <w:szCs w:val="28"/>
          <w:highlight w:val="white"/>
        </w:rPr>
        <w:t xml:space="preserve">2</w:t>
      </w:r>
      <w:r>
        <w:rPr>
          <w:sz w:val="28"/>
          <w:szCs w:val="28"/>
          <w:highlight w:val="white"/>
        </w:rPr>
        <w:t xml:space="preserve">3</w:t>
      </w:r>
      <w:r>
        <w:rPr>
          <w:sz w:val="28"/>
          <w:szCs w:val="28"/>
          <w:highlight w:val="white"/>
        </w:rPr>
        <w:t xml:space="preserve"> год,</w:t>
      </w:r>
      <w:r>
        <w:rPr>
          <w:sz w:val="28"/>
          <w:szCs w:val="28"/>
          <w:highlight w:val="white"/>
        </w:rPr>
        <w:t xml:space="preserve"> по</w:t>
      </w:r>
      <w:r>
        <w:rPr>
          <w:color w:val="ff0000"/>
          <w:sz w:val="28"/>
          <w:szCs w:val="28"/>
          <w:highlight w:val="white"/>
        </w:rPr>
        <w:t xml:space="preserve"> </w:t>
      </w:r>
      <w:r>
        <w:rPr>
          <w:sz w:val="28"/>
          <w:szCs w:val="28"/>
          <w:highlight w:val="white"/>
        </w:rPr>
        <w:t xml:space="preserve">оценке,  составил</w:t>
      </w:r>
      <w:r>
        <w:rPr>
          <w:sz w:val="28"/>
          <w:szCs w:val="28"/>
          <w:highlight w:val="white"/>
        </w:rPr>
        <w:t xml:space="preserve"> </w:t>
      </w:r>
      <w:r>
        <w:rPr>
          <w:sz w:val="28"/>
          <w:szCs w:val="28"/>
          <w:highlight w:val="white"/>
        </w:rPr>
        <w:t xml:space="preserve">66970 тыс.</w:t>
      </w:r>
      <w:r>
        <w:rPr>
          <w:sz w:val="28"/>
          <w:szCs w:val="28"/>
          <w:highlight w:val="white"/>
        </w:rPr>
        <w:t xml:space="preserve"> </w:t>
      </w:r>
      <w:r>
        <w:rPr>
          <w:sz w:val="28"/>
          <w:szCs w:val="28"/>
          <w:highlight w:val="white"/>
        </w:rPr>
        <w:t xml:space="preserve">рублей</w:t>
      </w:r>
      <w:r>
        <w:rPr>
          <w:sz w:val="28"/>
          <w:szCs w:val="28"/>
        </w:rPr>
        <w:t xml:space="preserve">, 132,0 % к уровню 2022 года в действующих ценах.   </w:t>
      </w:r>
      <w:r>
        <w:rPr>
          <w:sz w:val="28"/>
          <w:szCs w:val="28"/>
        </w:rPr>
      </w:r>
    </w:p>
    <w:p>
      <w:pPr>
        <w:jc w:val="both"/>
        <w:rPr>
          <w:sz w:val="28"/>
          <w:szCs w:val="28"/>
          <w:highlight w:val="none"/>
        </w:rPr>
      </w:pPr>
      <w:r>
        <w:rPr>
          <w:sz w:val="28"/>
          <w:szCs w:val="28"/>
        </w:rPr>
        <w:t xml:space="preserve">   </w:t>
      </w:r>
      <w:r>
        <w:rPr>
          <w:sz w:val="28"/>
          <w:szCs w:val="28"/>
        </w:rPr>
        <w:t xml:space="preserve">На 1 </w:t>
      </w:r>
      <w:r>
        <w:rPr>
          <w:sz w:val="28"/>
          <w:szCs w:val="28"/>
        </w:rPr>
        <w:t xml:space="preserve">января </w:t>
      </w:r>
      <w:r>
        <w:rPr>
          <w:sz w:val="28"/>
          <w:szCs w:val="28"/>
        </w:rPr>
        <w:t xml:space="preserve">20</w:t>
      </w:r>
      <w:r>
        <w:rPr>
          <w:sz w:val="28"/>
          <w:szCs w:val="28"/>
        </w:rPr>
        <w:t xml:space="preserve">2</w:t>
      </w:r>
      <w:r>
        <w:rPr>
          <w:sz w:val="28"/>
          <w:szCs w:val="28"/>
        </w:rPr>
        <w:t xml:space="preserve">3</w:t>
      </w:r>
      <w:r>
        <w:rPr>
          <w:sz w:val="28"/>
          <w:szCs w:val="28"/>
        </w:rPr>
        <w:t xml:space="preserve"> года в </w:t>
      </w:r>
      <w:r>
        <w:rPr>
          <w:sz w:val="28"/>
          <w:szCs w:val="28"/>
        </w:rPr>
        <w:t xml:space="preserve">Ровеньском</w:t>
      </w:r>
      <w:r>
        <w:rPr>
          <w:sz w:val="28"/>
          <w:szCs w:val="28"/>
        </w:rPr>
        <w:t xml:space="preserve"> районе действует</w:t>
      </w:r>
      <w:r>
        <w:rPr>
          <w:color w:val="ff0000"/>
          <w:sz w:val="28"/>
          <w:szCs w:val="28"/>
        </w:rPr>
        <w:t xml:space="preserve"> </w:t>
      </w:r>
      <w:r>
        <w:rPr>
          <w:color w:val="000000" w:themeColor="text1"/>
          <w:sz w:val="28"/>
          <w:szCs w:val="28"/>
        </w:rPr>
        <w:t xml:space="preserve">5</w:t>
      </w:r>
      <w:r>
        <w:rPr>
          <w:sz w:val="28"/>
          <w:szCs w:val="28"/>
        </w:rPr>
        <w:t xml:space="preserve"> предприятий и </w:t>
      </w:r>
      <w:r>
        <w:rPr>
          <w:sz w:val="28"/>
          <w:szCs w:val="28"/>
        </w:rPr>
        <w:t xml:space="preserve">48 индивидуальных предпринимателя, 27 самозанятых, применяющих режим налогообложения «Налог на профессиональный доход», оказывающих платные услуги населению</w:t>
      </w:r>
      <w:r>
        <w:rPr>
          <w:sz w:val="28"/>
          <w:szCs w:val="28"/>
        </w:rPr>
        <w:t xml:space="preserve">.</w:t>
      </w:r>
      <w:r>
        <w:rPr>
          <w:sz w:val="28"/>
          <w:szCs w:val="28"/>
        </w:rPr>
        <w:t xml:space="preserve"> Оборот платных бытовых услуг населению 580540,0 тыс. рублей, темп роста к уровню 2022 года 104,8 % в действующих ценах. </w:t>
      </w:r>
      <w:r>
        <w:rPr>
          <w:sz w:val="28"/>
          <w:szCs w:val="28"/>
          <w:highlight w:val="none"/>
        </w:rPr>
      </w:r>
    </w:p>
    <w:p>
      <w:pPr>
        <w:jc w:val="both"/>
        <w:tabs>
          <w:tab w:val="left" w:pos="2426" w:leader="none"/>
        </w:tabs>
        <w:rPr>
          <w:sz w:val="28"/>
          <w:szCs w:val="28"/>
        </w:rPr>
      </w:pPr>
      <w:r>
        <w:rPr>
          <w:sz w:val="28"/>
          <w:szCs w:val="28"/>
          <w:highlight w:val="none"/>
        </w:rPr>
        <w:t xml:space="preserve">    Развитие ярмарочной и нестационарной торговли является одним из перспективных направлений развития торговли в Ровеньском районе. На территории района </w:t>
      </w:r>
      <w:r>
        <w:rPr>
          <w:sz w:val="28"/>
          <w:szCs w:val="28"/>
          <w:highlight w:val="none"/>
        </w:rPr>
        <w:tab/>
        <w:t xml:space="preserve">работает ярмарка на постоянной основе (общее количество торговых мест на ней - 145 ед.). Кроме того, в 2023 году проведено всего 43 ярмарочных мероприятия с привлечением сельхозпроизводителей района, включая личные подсобные хозяйства.</w:t>
      </w:r>
      <w:r>
        <w:rPr>
          <w:sz w:val="28"/>
          <w:szCs w:val="28"/>
          <w:highlight w:val="none"/>
        </w:rPr>
      </w:r>
      <w:r>
        <w:rPr>
          <w:sz w:val="28"/>
          <w:szCs w:val="28"/>
        </w:rPr>
      </w:r>
    </w:p>
    <w:p>
      <w:pPr>
        <w:jc w:val="both"/>
        <w:rPr>
          <w:sz w:val="28"/>
          <w:szCs w:val="28"/>
        </w:rPr>
      </w:pPr>
      <w:r>
        <w:rPr>
          <w:sz w:val="28"/>
          <w:szCs w:val="28"/>
        </w:rPr>
        <w:t xml:space="preserve">    </w:t>
      </w:r>
      <w:r>
        <w:rPr>
          <w:sz w:val="28"/>
          <w:szCs w:val="28"/>
        </w:rPr>
      </w:r>
    </w:p>
    <w:sectPr>
      <w:footnotePr/>
      <w:endnotePr/>
      <w:type w:val="nextPage"/>
      <w:pgSz w:w="11906" w:h="16838" w:orient="portrait"/>
      <w:pgMar w:top="1134" w:right="850" w:bottom="709"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3">
    <w:name w:val="Heading 1"/>
    <w:basedOn w:val="831"/>
    <w:next w:val="831"/>
    <w:link w:val="654"/>
    <w:uiPriority w:val="9"/>
    <w:qFormat/>
    <w:pPr>
      <w:keepLines/>
      <w:keepNext/>
      <w:spacing w:before="480" w:after="200"/>
      <w:outlineLvl w:val="0"/>
    </w:pPr>
    <w:rPr>
      <w:rFonts w:ascii="Arial" w:hAnsi="Arial" w:eastAsia="Arial" w:cs="Arial"/>
      <w:sz w:val="40"/>
      <w:szCs w:val="40"/>
    </w:rPr>
  </w:style>
  <w:style w:type="character" w:styleId="654">
    <w:name w:val="Heading 1 Char"/>
    <w:basedOn w:val="832"/>
    <w:link w:val="653"/>
    <w:uiPriority w:val="9"/>
    <w:rPr>
      <w:rFonts w:ascii="Arial" w:hAnsi="Arial" w:eastAsia="Arial" w:cs="Arial"/>
      <w:sz w:val="40"/>
      <w:szCs w:val="40"/>
    </w:rPr>
  </w:style>
  <w:style w:type="paragraph" w:styleId="655">
    <w:name w:val="Heading 2"/>
    <w:basedOn w:val="831"/>
    <w:next w:val="831"/>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2"/>
    <w:link w:val="655"/>
    <w:uiPriority w:val="9"/>
    <w:rPr>
      <w:rFonts w:ascii="Arial" w:hAnsi="Arial" w:eastAsia="Arial" w:cs="Arial"/>
      <w:sz w:val="34"/>
    </w:rPr>
  </w:style>
  <w:style w:type="paragraph" w:styleId="657">
    <w:name w:val="Heading 3"/>
    <w:basedOn w:val="831"/>
    <w:next w:val="831"/>
    <w:link w:val="658"/>
    <w:uiPriority w:val="9"/>
    <w:unhideWhenUsed/>
    <w:qFormat/>
    <w:pPr>
      <w:keepLines/>
      <w:keepNext/>
      <w:spacing w:before="320" w:after="200"/>
      <w:outlineLvl w:val="2"/>
    </w:pPr>
    <w:rPr>
      <w:rFonts w:ascii="Arial" w:hAnsi="Arial" w:eastAsia="Arial" w:cs="Arial"/>
      <w:sz w:val="30"/>
      <w:szCs w:val="30"/>
    </w:rPr>
  </w:style>
  <w:style w:type="character" w:styleId="658">
    <w:name w:val="Heading 3 Char"/>
    <w:basedOn w:val="832"/>
    <w:link w:val="657"/>
    <w:uiPriority w:val="9"/>
    <w:rPr>
      <w:rFonts w:ascii="Arial" w:hAnsi="Arial" w:eastAsia="Arial" w:cs="Arial"/>
      <w:sz w:val="30"/>
      <w:szCs w:val="30"/>
    </w:rPr>
  </w:style>
  <w:style w:type="paragraph" w:styleId="659">
    <w:name w:val="Heading 4"/>
    <w:basedOn w:val="831"/>
    <w:next w:val="831"/>
    <w:link w:val="660"/>
    <w:uiPriority w:val="9"/>
    <w:unhideWhenUsed/>
    <w:qFormat/>
    <w:pPr>
      <w:keepLines/>
      <w:keepNext/>
      <w:spacing w:before="320" w:after="200"/>
      <w:outlineLvl w:val="3"/>
    </w:pPr>
    <w:rPr>
      <w:rFonts w:ascii="Arial" w:hAnsi="Arial" w:eastAsia="Arial" w:cs="Arial"/>
      <w:b/>
      <w:bCs/>
      <w:sz w:val="26"/>
      <w:szCs w:val="26"/>
    </w:rPr>
  </w:style>
  <w:style w:type="character" w:styleId="660">
    <w:name w:val="Heading 4 Char"/>
    <w:basedOn w:val="832"/>
    <w:link w:val="659"/>
    <w:uiPriority w:val="9"/>
    <w:rPr>
      <w:rFonts w:ascii="Arial" w:hAnsi="Arial" w:eastAsia="Arial" w:cs="Arial"/>
      <w:b/>
      <w:bCs/>
      <w:sz w:val="26"/>
      <w:szCs w:val="26"/>
    </w:rPr>
  </w:style>
  <w:style w:type="paragraph" w:styleId="661">
    <w:name w:val="Heading 5"/>
    <w:basedOn w:val="831"/>
    <w:next w:val="831"/>
    <w:link w:val="662"/>
    <w:uiPriority w:val="9"/>
    <w:unhideWhenUsed/>
    <w:qFormat/>
    <w:pPr>
      <w:keepLines/>
      <w:keepNext/>
      <w:spacing w:before="320" w:after="200"/>
      <w:outlineLvl w:val="4"/>
    </w:pPr>
    <w:rPr>
      <w:rFonts w:ascii="Arial" w:hAnsi="Arial" w:eastAsia="Arial" w:cs="Arial"/>
      <w:b/>
      <w:bCs/>
      <w:sz w:val="24"/>
      <w:szCs w:val="24"/>
    </w:rPr>
  </w:style>
  <w:style w:type="character" w:styleId="662">
    <w:name w:val="Heading 5 Char"/>
    <w:basedOn w:val="832"/>
    <w:link w:val="661"/>
    <w:uiPriority w:val="9"/>
    <w:rPr>
      <w:rFonts w:ascii="Arial" w:hAnsi="Arial" w:eastAsia="Arial" w:cs="Arial"/>
      <w:b/>
      <w:bCs/>
      <w:sz w:val="24"/>
      <w:szCs w:val="24"/>
    </w:rPr>
  </w:style>
  <w:style w:type="paragraph" w:styleId="663">
    <w:name w:val="Heading 6"/>
    <w:basedOn w:val="831"/>
    <w:next w:val="831"/>
    <w:link w:val="664"/>
    <w:uiPriority w:val="9"/>
    <w:unhideWhenUsed/>
    <w:qFormat/>
    <w:pPr>
      <w:keepLines/>
      <w:keepNext/>
      <w:spacing w:before="320" w:after="200"/>
      <w:outlineLvl w:val="5"/>
    </w:pPr>
    <w:rPr>
      <w:rFonts w:ascii="Arial" w:hAnsi="Arial" w:eastAsia="Arial" w:cs="Arial"/>
      <w:b/>
      <w:bCs/>
      <w:sz w:val="22"/>
      <w:szCs w:val="22"/>
    </w:rPr>
  </w:style>
  <w:style w:type="character" w:styleId="664">
    <w:name w:val="Heading 6 Char"/>
    <w:basedOn w:val="832"/>
    <w:link w:val="663"/>
    <w:uiPriority w:val="9"/>
    <w:rPr>
      <w:rFonts w:ascii="Arial" w:hAnsi="Arial" w:eastAsia="Arial" w:cs="Arial"/>
      <w:b/>
      <w:bCs/>
      <w:sz w:val="22"/>
      <w:szCs w:val="22"/>
    </w:rPr>
  </w:style>
  <w:style w:type="paragraph" w:styleId="665">
    <w:name w:val="Heading 7"/>
    <w:basedOn w:val="831"/>
    <w:next w:val="831"/>
    <w:link w:val="666"/>
    <w:uiPriority w:val="9"/>
    <w:unhideWhenUsed/>
    <w:qFormat/>
    <w:pPr>
      <w:keepLines/>
      <w:keepNext/>
      <w:spacing w:before="320" w:after="200"/>
      <w:outlineLvl w:val="6"/>
    </w:pPr>
    <w:rPr>
      <w:rFonts w:ascii="Arial" w:hAnsi="Arial" w:eastAsia="Arial" w:cs="Arial"/>
      <w:b/>
      <w:bCs/>
      <w:i/>
      <w:iCs/>
      <w:sz w:val="22"/>
      <w:szCs w:val="22"/>
    </w:rPr>
  </w:style>
  <w:style w:type="character" w:styleId="666">
    <w:name w:val="Heading 7 Char"/>
    <w:basedOn w:val="832"/>
    <w:link w:val="665"/>
    <w:uiPriority w:val="9"/>
    <w:rPr>
      <w:rFonts w:ascii="Arial" w:hAnsi="Arial" w:eastAsia="Arial" w:cs="Arial"/>
      <w:b/>
      <w:bCs/>
      <w:i/>
      <w:iCs/>
      <w:sz w:val="22"/>
      <w:szCs w:val="22"/>
    </w:rPr>
  </w:style>
  <w:style w:type="paragraph" w:styleId="667">
    <w:name w:val="Heading 8"/>
    <w:basedOn w:val="831"/>
    <w:next w:val="831"/>
    <w:link w:val="668"/>
    <w:uiPriority w:val="9"/>
    <w:unhideWhenUsed/>
    <w:qFormat/>
    <w:pPr>
      <w:keepLines/>
      <w:keepNext/>
      <w:spacing w:before="320" w:after="200"/>
      <w:outlineLvl w:val="7"/>
    </w:pPr>
    <w:rPr>
      <w:rFonts w:ascii="Arial" w:hAnsi="Arial" w:eastAsia="Arial" w:cs="Arial"/>
      <w:i/>
      <w:iCs/>
      <w:sz w:val="22"/>
      <w:szCs w:val="22"/>
    </w:rPr>
  </w:style>
  <w:style w:type="character" w:styleId="668">
    <w:name w:val="Heading 8 Char"/>
    <w:basedOn w:val="832"/>
    <w:link w:val="667"/>
    <w:uiPriority w:val="9"/>
    <w:rPr>
      <w:rFonts w:ascii="Arial" w:hAnsi="Arial" w:eastAsia="Arial" w:cs="Arial"/>
      <w:i/>
      <w:iCs/>
      <w:sz w:val="22"/>
      <w:szCs w:val="22"/>
    </w:rPr>
  </w:style>
  <w:style w:type="paragraph" w:styleId="669">
    <w:name w:val="Heading 9"/>
    <w:basedOn w:val="831"/>
    <w:next w:val="831"/>
    <w:link w:val="670"/>
    <w:uiPriority w:val="9"/>
    <w:unhideWhenUsed/>
    <w:qFormat/>
    <w:pPr>
      <w:keepLines/>
      <w:keepNext/>
      <w:spacing w:before="320" w:after="200"/>
      <w:outlineLvl w:val="8"/>
    </w:pPr>
    <w:rPr>
      <w:rFonts w:ascii="Arial" w:hAnsi="Arial" w:eastAsia="Arial" w:cs="Arial"/>
      <w:i/>
      <w:iCs/>
      <w:sz w:val="21"/>
      <w:szCs w:val="21"/>
    </w:rPr>
  </w:style>
  <w:style w:type="character" w:styleId="670">
    <w:name w:val="Heading 9 Char"/>
    <w:basedOn w:val="832"/>
    <w:link w:val="669"/>
    <w:uiPriority w:val="9"/>
    <w:rPr>
      <w:rFonts w:ascii="Arial" w:hAnsi="Arial" w:eastAsia="Arial" w:cs="Arial"/>
      <w:i/>
      <w:iCs/>
      <w:sz w:val="21"/>
      <w:szCs w:val="21"/>
    </w:rPr>
  </w:style>
  <w:style w:type="paragraph" w:styleId="671">
    <w:name w:val="List Paragraph"/>
    <w:basedOn w:val="831"/>
    <w:uiPriority w:val="34"/>
    <w:qFormat/>
    <w:pPr>
      <w:contextualSpacing/>
      <w:ind w:left="720"/>
    </w:pPr>
  </w:style>
  <w:style w:type="paragraph" w:styleId="672">
    <w:name w:val="No Spacing"/>
    <w:uiPriority w:val="1"/>
    <w:qFormat/>
    <w:pPr>
      <w:spacing w:before="0" w:after="0" w:line="240" w:lineRule="auto"/>
    </w:pPr>
  </w:style>
  <w:style w:type="paragraph" w:styleId="673">
    <w:name w:val="Title"/>
    <w:basedOn w:val="831"/>
    <w:next w:val="831"/>
    <w:link w:val="674"/>
    <w:uiPriority w:val="10"/>
    <w:qFormat/>
    <w:pPr>
      <w:contextualSpacing/>
      <w:spacing w:before="300" w:after="200"/>
    </w:pPr>
    <w:rPr>
      <w:sz w:val="48"/>
      <w:szCs w:val="48"/>
    </w:rPr>
  </w:style>
  <w:style w:type="character" w:styleId="674">
    <w:name w:val="Title Char"/>
    <w:basedOn w:val="832"/>
    <w:link w:val="673"/>
    <w:uiPriority w:val="10"/>
    <w:rPr>
      <w:sz w:val="48"/>
      <w:szCs w:val="48"/>
    </w:rPr>
  </w:style>
  <w:style w:type="paragraph" w:styleId="675">
    <w:name w:val="Subtitle"/>
    <w:basedOn w:val="831"/>
    <w:next w:val="831"/>
    <w:link w:val="676"/>
    <w:uiPriority w:val="11"/>
    <w:qFormat/>
    <w:pPr>
      <w:spacing w:before="200" w:after="200"/>
    </w:pPr>
    <w:rPr>
      <w:sz w:val="24"/>
      <w:szCs w:val="24"/>
    </w:rPr>
  </w:style>
  <w:style w:type="character" w:styleId="676">
    <w:name w:val="Subtitle Char"/>
    <w:basedOn w:val="832"/>
    <w:link w:val="675"/>
    <w:uiPriority w:val="11"/>
    <w:rPr>
      <w:sz w:val="24"/>
      <w:szCs w:val="24"/>
    </w:rPr>
  </w:style>
  <w:style w:type="paragraph" w:styleId="677">
    <w:name w:val="Quote"/>
    <w:basedOn w:val="831"/>
    <w:next w:val="831"/>
    <w:link w:val="678"/>
    <w:uiPriority w:val="29"/>
    <w:qFormat/>
    <w:pPr>
      <w:ind w:left="720" w:right="720"/>
    </w:pPr>
    <w:rPr>
      <w:i/>
    </w:rPr>
  </w:style>
  <w:style w:type="character" w:styleId="678">
    <w:name w:val="Quote Char"/>
    <w:link w:val="677"/>
    <w:uiPriority w:val="29"/>
    <w:rPr>
      <w:i/>
    </w:rPr>
  </w:style>
  <w:style w:type="paragraph" w:styleId="679">
    <w:name w:val="Intense Quote"/>
    <w:basedOn w:val="831"/>
    <w:next w:val="831"/>
    <w:link w:val="6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0">
    <w:name w:val="Intense Quote Char"/>
    <w:link w:val="679"/>
    <w:uiPriority w:val="30"/>
    <w:rPr>
      <w:i/>
    </w:rPr>
  </w:style>
  <w:style w:type="paragraph" w:styleId="681">
    <w:name w:val="Header"/>
    <w:basedOn w:val="831"/>
    <w:link w:val="682"/>
    <w:uiPriority w:val="99"/>
    <w:unhideWhenUsed/>
    <w:pPr>
      <w:spacing w:after="0" w:line="240" w:lineRule="auto"/>
      <w:tabs>
        <w:tab w:val="center" w:pos="7143" w:leader="none"/>
        <w:tab w:val="right" w:pos="14287" w:leader="none"/>
      </w:tabs>
    </w:pPr>
  </w:style>
  <w:style w:type="character" w:styleId="682">
    <w:name w:val="Header Char"/>
    <w:basedOn w:val="832"/>
    <w:link w:val="681"/>
    <w:uiPriority w:val="99"/>
  </w:style>
  <w:style w:type="paragraph" w:styleId="683">
    <w:name w:val="Footer"/>
    <w:basedOn w:val="831"/>
    <w:link w:val="686"/>
    <w:uiPriority w:val="99"/>
    <w:unhideWhenUsed/>
    <w:pPr>
      <w:spacing w:after="0" w:line="240" w:lineRule="auto"/>
      <w:tabs>
        <w:tab w:val="center" w:pos="7143" w:leader="none"/>
        <w:tab w:val="right" w:pos="14287" w:leader="none"/>
      </w:tabs>
    </w:pPr>
  </w:style>
  <w:style w:type="character" w:styleId="684">
    <w:name w:val="Footer Char"/>
    <w:basedOn w:val="832"/>
    <w:link w:val="683"/>
    <w:uiPriority w:val="99"/>
  </w:style>
  <w:style w:type="paragraph" w:styleId="685">
    <w:name w:val="Caption"/>
    <w:basedOn w:val="831"/>
    <w:next w:val="831"/>
    <w:uiPriority w:val="35"/>
    <w:semiHidden/>
    <w:unhideWhenUsed/>
    <w:qFormat/>
    <w:pPr>
      <w:spacing w:line="276" w:lineRule="auto"/>
    </w:pPr>
    <w:rPr>
      <w:b/>
      <w:bCs/>
      <w:color w:val="4f81bd" w:themeColor="accent1"/>
      <w:sz w:val="18"/>
      <w:szCs w:val="18"/>
    </w:rPr>
  </w:style>
  <w:style w:type="character" w:styleId="686">
    <w:name w:val="Caption Char"/>
    <w:basedOn w:val="685"/>
    <w:link w:val="683"/>
    <w:uiPriority w:val="99"/>
  </w:style>
  <w:style w:type="table" w:styleId="687">
    <w:name w:val="Table Grid"/>
    <w:basedOn w:val="8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8">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9">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2">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3">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4">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5">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6">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7">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8">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9">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0">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1">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2">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3">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4">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5">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6">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7">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8">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6">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7">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8">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9">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0">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1">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2">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themeColor="light1" w:sz="4" w:space="0"/>
        </w:tcBorders>
      </w:tcPr>
    </w:tblStylePr>
  </w:style>
  <w:style w:type="table" w:styleId="723">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themeColor="light1" w:sz="4" w:space="0"/>
        </w:tcBorders>
      </w:tcPr>
    </w:tblStylePr>
  </w:style>
  <w:style w:type="table" w:styleId="724">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themeColor="light1" w:sz="4" w:space="0"/>
        </w:tcBorders>
      </w:tcPr>
    </w:tblStylePr>
  </w:style>
  <w:style w:type="table" w:styleId="725">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themeColor="light1" w:sz="4" w:space="0"/>
        </w:tcBorders>
      </w:tcPr>
    </w:tblStylePr>
  </w:style>
  <w:style w:type="table" w:styleId="726">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themeColor="light1" w:sz="4" w:space="0"/>
        </w:tcBorders>
      </w:tcPr>
    </w:tblStylePr>
  </w:style>
  <w:style w:type="table" w:styleId="727">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themeColor="light1" w:sz="4" w:space="0"/>
        </w:tcBorders>
      </w:tcPr>
    </w:tblStylePr>
  </w:style>
  <w:style w:type="table" w:styleId="728">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themeColor="light1" w:sz="4" w:space="0"/>
        </w:tcBorders>
      </w:tcPr>
    </w:tblStylePr>
  </w:style>
  <w:style w:type="table" w:styleId="729">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0">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1">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2">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3">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4">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5">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7">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8">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2">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3">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4">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5">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6">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7">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8">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9">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0">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1">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2">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3">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4">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5">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6">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7">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58">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59">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60">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61">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62">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63">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64">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65">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66">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67">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68">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69">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70">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71">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tblPr>
    <w:tblStylePr w:type="band1Horz">
      <w:tcPr>
        <w:shd w:val="clear" w:color="ffffff" w:themeColor="text1" w:themeTint="80"/>
        <w:tcBorders>
          <w:top w:val="single" w:color="000000" w:themeColor="light1" w:sz="4" w:space="0"/>
          <w:bottom w:val="single" w:color="000000" w:themeColor="light1" w:sz="4" w:space="0"/>
        </w:tcBorders>
      </w:tcPr>
    </w:tblStylePr>
    <w:tblStylePr w:type="band1Vert">
      <w:tcPr>
        <w:shd w:val="clear" w:color="ffffff" w:themeColor="text1" w:themeTint="80"/>
        <w:tcBorders>
          <w:left w:val="single" w:color="000000" w:themeColor="light1" w:sz="4" w:space="0"/>
          <w:right w:val="single" w:color="000000" w:themeColor="light1" w:sz="4" w:space="0"/>
        </w:tcBorders>
      </w:tcPr>
    </w:tblStylePr>
    <w:tblStylePr w:type="band2Horz">
      <w:tcPr>
        <w:shd w:val="clear" w:color="ffffff" w:themeColor="text1" w:theme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tblPr>
    <w:tblStylePr w:type="band1Horz">
      <w:tcPr>
        <w:shd w:val="clear" w:color="ffffff" w:themeColor="accent1"/>
        <w:tcBorders>
          <w:top w:val="single" w:color="000000" w:themeColor="light1" w:sz="4" w:space="0"/>
          <w:bottom w:val="single" w:color="000000" w:themeColor="light1" w:sz="4" w:space="0"/>
        </w:tcBorders>
      </w:tcPr>
    </w:tblStylePr>
    <w:tblStylePr w:type="band1Vert">
      <w:tcPr>
        <w:shd w:val="clear" w:color="ffffff" w:themeColor="accent1"/>
        <w:tcBorders>
          <w:left w:val="single" w:color="000000" w:themeColor="light1" w:sz="4" w:space="0"/>
          <w:right w:val="single" w:color="000000" w:themeColor="light1" w:sz="4" w:space="0"/>
        </w:tcBorders>
      </w:tcPr>
    </w:tblStylePr>
    <w:tblStylePr w:type="band2Horz">
      <w:tcPr>
        <w:shd w:val="clear" w:color="ffffff" w:themeColor="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tblPr>
    <w:tblStylePr w:type="band1Horz">
      <w:tcPr>
        <w:shd w:val="clear" w:color="ffffff" w:themeColor="accent2" w:themeTint="97"/>
        <w:tcBorders>
          <w:top w:val="single" w:color="000000" w:themeColor="light1" w:sz="4" w:space="0"/>
          <w:bottom w:val="single" w:color="000000" w:themeColor="light1" w:sz="4" w:space="0"/>
        </w:tcBorders>
      </w:tcPr>
    </w:tblStylePr>
    <w:tblStylePr w:type="band1Vert">
      <w:tcPr>
        <w:shd w:val="clear" w:color="ffffff" w:themeColor="accent2" w:themeTint="97"/>
        <w:tcBorders>
          <w:left w:val="single" w:color="000000" w:themeColor="light1" w:sz="4" w:space="0"/>
          <w:right w:val="single" w:color="000000" w:themeColor="light1" w:sz="4" w:space="0"/>
        </w:tcBorders>
      </w:tcPr>
    </w:tblStylePr>
    <w:tblStylePr w:type="band2Horz">
      <w:tcPr>
        <w:shd w:val="clear" w:color="ffffff" w:themeColor="accent2" w:theme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tblPr>
    <w:tblStylePr w:type="band1Horz">
      <w:tcPr>
        <w:shd w:val="clear" w:color="ffffff" w:themeColor="accent3" w:themeTint="98"/>
        <w:tcBorders>
          <w:top w:val="single" w:color="000000" w:themeColor="light1" w:sz="4" w:space="0"/>
          <w:bottom w:val="single" w:color="000000" w:themeColor="light1" w:sz="4" w:space="0"/>
        </w:tcBorders>
      </w:tcPr>
    </w:tblStylePr>
    <w:tblStylePr w:type="band1Vert">
      <w:tcPr>
        <w:shd w:val="clear" w:color="ffffff" w:themeColor="accent3" w:themeTint="98"/>
        <w:tcBorders>
          <w:left w:val="single" w:color="000000" w:themeColor="light1" w:sz="4" w:space="0"/>
          <w:right w:val="single" w:color="000000" w:themeColor="light1" w:sz="4" w:space="0"/>
        </w:tcBorders>
      </w:tcPr>
    </w:tblStylePr>
    <w:tblStylePr w:type="band2Horz">
      <w:tcPr>
        <w:shd w:val="clear" w:color="ffffff" w:themeColor="accent3" w:theme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tblPr>
    <w:tblStylePr w:type="band1Horz">
      <w:tcPr>
        <w:shd w:val="clear" w:color="ffffff" w:themeColor="accent4" w:themeTint="9A"/>
        <w:tcBorders>
          <w:top w:val="single" w:color="000000" w:themeColor="light1" w:sz="4" w:space="0"/>
          <w:bottom w:val="single" w:color="000000" w:themeColor="light1" w:sz="4" w:space="0"/>
        </w:tcBorders>
      </w:tcPr>
    </w:tblStylePr>
    <w:tblStylePr w:type="band1Vert">
      <w:tcPr>
        <w:shd w:val="clear" w:color="ffffff" w:themeColor="accent4" w:themeTint="9A"/>
        <w:tcBorders>
          <w:left w:val="single" w:color="000000" w:themeColor="light1" w:sz="4" w:space="0"/>
          <w:right w:val="single" w:color="000000" w:themeColor="light1" w:sz="4" w:space="0"/>
        </w:tcBorders>
      </w:tcPr>
    </w:tblStylePr>
    <w:tblStylePr w:type="band2Horz">
      <w:tcPr>
        <w:shd w:val="clear" w:color="ffffff" w:themeColor="accent4" w:theme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tblPr>
    <w:tblStylePr w:type="band1Horz">
      <w:tcPr>
        <w:shd w:val="clear" w:color="ffffff" w:themeColor="accent5" w:themeTint="9A"/>
        <w:tcBorders>
          <w:top w:val="single" w:color="000000" w:themeColor="light1" w:sz="4" w:space="0"/>
          <w:bottom w:val="single" w:color="000000" w:themeColor="light1" w:sz="4" w:space="0"/>
        </w:tcBorders>
      </w:tcPr>
    </w:tblStylePr>
    <w:tblStylePr w:type="band1Vert">
      <w:tcPr>
        <w:shd w:val="clear" w:color="ffffff" w:themeColor="accent5" w:themeTint="9A"/>
        <w:tcBorders>
          <w:left w:val="single" w:color="000000" w:themeColor="light1" w:sz="4" w:space="0"/>
          <w:right w:val="single" w:color="000000" w:themeColor="light1" w:sz="4" w:space="0"/>
        </w:tcBorders>
      </w:tcPr>
    </w:tblStylePr>
    <w:tblStylePr w:type="band2Horz">
      <w:tcPr>
        <w:shd w:val="clear" w:color="ffffff" w:themeColor="accent5" w:theme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tblPr>
    <w:tblStylePr w:type="band1Horz">
      <w:tcPr>
        <w:shd w:val="clear" w:color="ffffff" w:themeColor="accent6" w:themeTint="98"/>
        <w:tcBorders>
          <w:top w:val="single" w:color="000000" w:themeColor="light1" w:sz="4" w:space="0"/>
          <w:bottom w:val="single" w:color="000000" w:themeColor="light1" w:sz="4" w:space="0"/>
        </w:tcBorders>
      </w:tcPr>
    </w:tblStylePr>
    <w:tblStylePr w:type="band1Vert">
      <w:tcPr>
        <w:shd w:val="clear" w:color="ffffff" w:themeColor="accent6" w:themeTint="98"/>
        <w:tcBorders>
          <w:left w:val="single" w:color="000000" w:themeColor="light1" w:sz="4" w:space="0"/>
          <w:right w:val="single" w:color="000000" w:themeColor="light1" w:sz="4" w:space="0"/>
        </w:tcBorders>
      </w:tcPr>
    </w:tblStylePr>
    <w:tblStylePr w:type="band2Horz">
      <w:tcPr>
        <w:shd w:val="clear" w:color="ffffff" w:themeColor="accent6" w:theme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9">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0">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1">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2">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3">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4">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5">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6">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7">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8">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89">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0">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1">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2">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93">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94">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95">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96">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97">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98">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99">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800">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801">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802">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803">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804">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805">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806">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7">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8">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9">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0">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1">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2">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3">
    <w:name w:val="Hyperlink"/>
    <w:uiPriority w:val="99"/>
    <w:unhideWhenUsed/>
    <w:rPr>
      <w:color w:val="0000ff" w:themeColor="hyperlink"/>
      <w:u w:val="single"/>
    </w:rPr>
  </w:style>
  <w:style w:type="paragraph" w:styleId="814">
    <w:name w:val="footnote text"/>
    <w:basedOn w:val="831"/>
    <w:link w:val="815"/>
    <w:uiPriority w:val="99"/>
    <w:semiHidden/>
    <w:unhideWhenUsed/>
    <w:pPr>
      <w:spacing w:after="40" w:line="240" w:lineRule="auto"/>
    </w:pPr>
    <w:rPr>
      <w:sz w:val="18"/>
    </w:rPr>
  </w:style>
  <w:style w:type="character" w:styleId="815">
    <w:name w:val="Footnote Text Char"/>
    <w:link w:val="814"/>
    <w:uiPriority w:val="99"/>
    <w:rPr>
      <w:sz w:val="18"/>
    </w:rPr>
  </w:style>
  <w:style w:type="character" w:styleId="816">
    <w:name w:val="footnote reference"/>
    <w:basedOn w:val="832"/>
    <w:uiPriority w:val="99"/>
    <w:unhideWhenUsed/>
    <w:rPr>
      <w:vertAlign w:val="superscript"/>
    </w:rPr>
  </w:style>
  <w:style w:type="paragraph" w:styleId="817">
    <w:name w:val="endnote text"/>
    <w:basedOn w:val="831"/>
    <w:link w:val="818"/>
    <w:uiPriority w:val="99"/>
    <w:semiHidden/>
    <w:unhideWhenUsed/>
    <w:pPr>
      <w:spacing w:after="0" w:line="240" w:lineRule="auto"/>
    </w:pPr>
    <w:rPr>
      <w:sz w:val="20"/>
    </w:rPr>
  </w:style>
  <w:style w:type="character" w:styleId="818">
    <w:name w:val="Endnote Text Char"/>
    <w:link w:val="817"/>
    <w:uiPriority w:val="99"/>
    <w:rPr>
      <w:sz w:val="20"/>
    </w:rPr>
  </w:style>
  <w:style w:type="character" w:styleId="819">
    <w:name w:val="endnote reference"/>
    <w:basedOn w:val="832"/>
    <w:uiPriority w:val="99"/>
    <w:semiHidden/>
    <w:unhideWhenUsed/>
    <w:rPr>
      <w:vertAlign w:val="superscript"/>
    </w:rPr>
  </w:style>
  <w:style w:type="paragraph" w:styleId="820">
    <w:name w:val="toc 1"/>
    <w:basedOn w:val="831"/>
    <w:next w:val="831"/>
    <w:uiPriority w:val="39"/>
    <w:unhideWhenUsed/>
    <w:pPr>
      <w:ind w:left="0" w:right="0" w:firstLine="0"/>
      <w:spacing w:after="57"/>
    </w:pPr>
  </w:style>
  <w:style w:type="paragraph" w:styleId="821">
    <w:name w:val="toc 2"/>
    <w:basedOn w:val="831"/>
    <w:next w:val="831"/>
    <w:uiPriority w:val="39"/>
    <w:unhideWhenUsed/>
    <w:pPr>
      <w:ind w:left="283" w:right="0" w:firstLine="0"/>
      <w:spacing w:after="57"/>
    </w:pPr>
  </w:style>
  <w:style w:type="paragraph" w:styleId="822">
    <w:name w:val="toc 3"/>
    <w:basedOn w:val="831"/>
    <w:next w:val="831"/>
    <w:uiPriority w:val="39"/>
    <w:unhideWhenUsed/>
    <w:pPr>
      <w:ind w:left="567" w:right="0" w:firstLine="0"/>
      <w:spacing w:after="57"/>
    </w:pPr>
  </w:style>
  <w:style w:type="paragraph" w:styleId="823">
    <w:name w:val="toc 4"/>
    <w:basedOn w:val="831"/>
    <w:next w:val="831"/>
    <w:uiPriority w:val="39"/>
    <w:unhideWhenUsed/>
    <w:pPr>
      <w:ind w:left="850" w:right="0" w:firstLine="0"/>
      <w:spacing w:after="57"/>
    </w:pPr>
  </w:style>
  <w:style w:type="paragraph" w:styleId="824">
    <w:name w:val="toc 5"/>
    <w:basedOn w:val="831"/>
    <w:next w:val="831"/>
    <w:uiPriority w:val="39"/>
    <w:unhideWhenUsed/>
    <w:pPr>
      <w:ind w:left="1134" w:right="0" w:firstLine="0"/>
      <w:spacing w:after="57"/>
    </w:pPr>
  </w:style>
  <w:style w:type="paragraph" w:styleId="825">
    <w:name w:val="toc 6"/>
    <w:basedOn w:val="831"/>
    <w:next w:val="831"/>
    <w:uiPriority w:val="39"/>
    <w:unhideWhenUsed/>
    <w:pPr>
      <w:ind w:left="1417" w:right="0" w:firstLine="0"/>
      <w:spacing w:after="57"/>
    </w:pPr>
  </w:style>
  <w:style w:type="paragraph" w:styleId="826">
    <w:name w:val="toc 7"/>
    <w:basedOn w:val="831"/>
    <w:next w:val="831"/>
    <w:uiPriority w:val="39"/>
    <w:unhideWhenUsed/>
    <w:pPr>
      <w:ind w:left="1701" w:right="0" w:firstLine="0"/>
      <w:spacing w:after="57"/>
    </w:pPr>
  </w:style>
  <w:style w:type="paragraph" w:styleId="827">
    <w:name w:val="toc 8"/>
    <w:basedOn w:val="831"/>
    <w:next w:val="831"/>
    <w:uiPriority w:val="39"/>
    <w:unhideWhenUsed/>
    <w:pPr>
      <w:ind w:left="1984" w:right="0" w:firstLine="0"/>
      <w:spacing w:after="57"/>
    </w:pPr>
  </w:style>
  <w:style w:type="paragraph" w:styleId="828">
    <w:name w:val="toc 9"/>
    <w:basedOn w:val="831"/>
    <w:next w:val="831"/>
    <w:uiPriority w:val="39"/>
    <w:unhideWhenUsed/>
    <w:pPr>
      <w:ind w:left="2268" w:right="0" w:firstLine="0"/>
      <w:spacing w:after="57"/>
    </w:pPr>
  </w:style>
  <w:style w:type="paragraph" w:styleId="829">
    <w:name w:val="TOC Heading"/>
    <w:uiPriority w:val="39"/>
    <w:unhideWhenUsed/>
  </w:style>
  <w:style w:type="paragraph" w:styleId="830">
    <w:name w:val="table of figures"/>
    <w:basedOn w:val="831"/>
    <w:next w:val="831"/>
    <w:uiPriority w:val="99"/>
    <w:unhideWhenUsed/>
    <w:pPr>
      <w:spacing w:after="0" w:afterAutospacing="0"/>
    </w:pPr>
  </w:style>
  <w:style w:type="paragraph" w:styleId="831" w:default="1">
    <w:name w:val="Normal"/>
    <w:qFormat/>
    <w:pPr>
      <w:spacing w:after="0" w:line="240" w:lineRule="auto"/>
    </w:pPr>
    <w:rPr>
      <w:rFonts w:ascii="Times New Roman" w:hAnsi="Times New Roman" w:eastAsia="Times New Roman" w:cs="Times New Roman"/>
      <w:sz w:val="20"/>
      <w:szCs w:val="20"/>
      <w:lang w:eastAsia="ru-RU"/>
    </w:rPr>
  </w:style>
  <w:style w:type="character" w:styleId="832" w:default="1">
    <w:name w:val="Default Paragraph Font"/>
    <w:uiPriority w:val="1"/>
    <w:semiHidden/>
    <w:unhideWhenUsed/>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C17B4-8DB1-48A9-B4C9-EA631302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Р7-Офис/7.4.0.340</Application>
  <Company>Computer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И</dc:creator>
  <cp:revision>67</cp:revision>
  <dcterms:created xsi:type="dcterms:W3CDTF">2018-05-11T08:36:00Z</dcterms:created>
  <dcterms:modified xsi:type="dcterms:W3CDTF">2024-02-29T12:09:24Z</dcterms:modified>
</cp:coreProperties>
</file>