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Информация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highlight w:val="none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по результатам проведения контрольного мероприятия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highlight w:val="none"/>
        </w:rPr>
      </w:r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both"/>
        <w:spacing w:lineRule="auto" w:line="240" w:after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Контрольно-счетной комиссией  Ровеньского района  в  соответствии с  п.2.1 плана работы на 2025 год, проведена </w:t>
      </w:r>
      <w:r>
        <w:rPr>
          <w:rFonts w:ascii="Tinos" w:hAnsi="Tinos" w:cs="Tinos" w:eastAsia="Tinos"/>
          <w:b/>
          <w:sz w:val="28"/>
          <w:highlight w:val="none"/>
        </w:rPr>
        <w:t xml:space="preserve"> 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«</w:t>
      </w:r>
      <w:r>
        <w:rPr>
          <w:rFonts w:ascii="Tinos" w:hAnsi="Tinos" w:cs="Tinos" w:eastAsia="Tinos"/>
          <w:b w:val="false"/>
          <w:sz w:val="28"/>
          <w:highlight w:val="none"/>
        </w:rPr>
        <w:t xml:space="preserve">проверка   финансово-хозяйственной деятельности в МКУ «Административно-хозяйственная служба обеспечения деятельности органов местного самоуправления Нагорьевского сельского поселения муниципального района «Ровеньский район» Белгородской области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  в 2024 году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»</w:t>
      </w:r>
      <w:r>
        <w:rPr>
          <w:rFonts w:ascii="Tinos" w:hAnsi="Tinos" w:cs="Tinos" w:eastAsia="Tinos"/>
          <w:b/>
          <w:sz w:val="28"/>
          <w:highlight w:val="none"/>
        </w:rPr>
        <w:t xml:space="preserve"> </w:t>
      </w:r>
      <w:r>
        <w:rPr>
          <w:rFonts w:ascii="Tinos" w:hAnsi="Tinos" w:cs="Tinos" w:eastAsia="Tinos"/>
          <w:b w:val="false"/>
          <w:sz w:val="28"/>
          <w:highlight w:val="none"/>
        </w:rPr>
        <w:t xml:space="preserve"> .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В ходе проверки установлено.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В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нормативно-правовых документах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  МКУ «Нагорьевская АХС» установлена  противоречивость по утверждению бюджетной сметы: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-согласно п.4.2.1 Устава к компетенции учредителя  относится «утверждение бюджетной сметы учреждения»;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 w:afterAutospacing="0"/>
        <w:rPr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-согласно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Порядка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составления, утверждения и ведения бюджетных смет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администрации Нагорьевского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сельского поселения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,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«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смета учреждения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утверждается руководителем учреждения и заверяется гербовой печатью »</w:t>
      </w:r>
      <w:r>
        <w:rPr>
          <w:rFonts w:eastAsiaTheme="minorHAnsi"/>
          <w:highlight w:val="none"/>
        </w:rPr>
        <w:t xml:space="preserve">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В нарушение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Порядка составления, утверждения и ведения бюджетных смет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администрации Нагорьевского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сельского поселения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 в форме бюджетной сметы  (Ф.0501012)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МКУ «Нагорьевская   АХС»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не предусмотрен гриф </w:t>
      </w:r>
      <w:r>
        <w:rPr>
          <w:rFonts w:ascii="Times New Roman" w:hAnsi="Times New Roman" w:cs="Times New Roman" w:eastAsia="Times New Roman" w:eastAsiaTheme="minorHAnsi"/>
          <w:color w:val="000000"/>
          <w:sz w:val="28"/>
          <w:highlight w:val="none"/>
        </w:rPr>
        <w:t xml:space="preserve">«Согласовано» с указанием наименования должности согласовавшего смету учреждения, личной подписи, расшифровки подписи и даты согласования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 бюджетная  смета   учреждения  утверждена  главным  распорядителем средств , главой администрации Нагорьевского сельского поселения.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Бюджетная смета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МКУ «Нагорьевская  АХС»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(Ф. 0501012)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 2024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год и плановый период 2025 и 2026 годов ,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утвержд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ена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от 09.01.2024год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в сумм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е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4858,5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тыс.рублей,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исполнена в сумме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4844,9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ыс.рублей  или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99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,7%,  в том числе расходы на оплату труда в сумме   3434,0тыс.рублей или 99,7%, расходы на закупку  товаров, работ, услуг в сумме  1406,2тыс.рублей или 99,8%.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true"/>
        <w:jc w:val="both"/>
        <w:spacing w:lineRule="auto" w:line="240" w:after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  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В ходе проверки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оплаты труда работников установлено неэффективное использование средств на  выплату заработной платы  в сумме  399,96тыс.рублей . 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true"/>
        <w:jc w:val="both"/>
        <w:spacing w:lineRule="auto" w:line="240" w:after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   В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нарушение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ч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.6 ст.136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Трудового кодекса  РФ  </w:t>
      </w:r>
      <w:r>
        <w:rPr>
          <w:rFonts w:ascii="Tinos" w:hAnsi="Tinos" w:cs="Tinos" w:eastAsia="Tinos" w:eastAsiaTheme="minorHAnsi"/>
          <w:color w:val="000000"/>
          <w:sz w:val="28"/>
          <w:szCs w:val="28"/>
          <w:highlight w:val="none"/>
          <w:shd w:val="clear" w:fill="FFFFFF" w:color="auto"/>
        </w:rPr>
        <w:t xml:space="preserve">в Положении об опл</w:t>
      </w:r>
      <w:r>
        <w:rPr>
          <w:rFonts w:ascii="Tinos" w:hAnsi="Tinos" w:cs="Tinos" w:eastAsia="Tinos" w:eastAsiaTheme="minorHAnsi"/>
          <w:color w:val="000000"/>
          <w:sz w:val="28"/>
          <w:szCs w:val="28"/>
          <w:highlight w:val="none"/>
          <w:shd w:val="clear" w:fill="FFFFFF" w:color="auto"/>
        </w:rPr>
        <w:t xml:space="preserve">ате труда установлены  даты выплаты заработной платы между которыми менее 15 календарных дней.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sz w:val="28"/>
          <w:szCs w:val="28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В нарушение требований, предъявляемых к правилам ведения бюджетного (бухгалтерского) учета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, определен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срок полезного использования автомобиля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Лада НИВА 212140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, что привело к излишне начисленной  амортизации и уменьшению остаточной стоимости основного средства.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  </w:t>
      </w:r>
      <w:r>
        <w:rPr>
          <w:rFonts w:ascii="Tinos" w:hAnsi="Tinos" w:cs="Tinos" w:eastAsia="Tinos" w:eastAsiaTheme="minorHAnsi"/>
          <w:color w:val="000000"/>
          <w:sz w:val="28"/>
          <w:highlight w:val="none"/>
        </w:rPr>
        <w:t xml:space="preserve">Сумма излишне  начисленной амортизации на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автомобиль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Лада НИВА 212140</w:t>
      </w:r>
      <w:r>
        <w:rPr>
          <w:rFonts w:ascii="Tinos" w:hAnsi="Tinos" w:cs="Tinos" w:eastAsia="Tinos" w:eastAsiaTheme="minorHAnsi"/>
          <w:color w:val="000000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color w:val="000000"/>
          <w:sz w:val="28"/>
          <w:highlight w:val="none"/>
        </w:rPr>
        <w:t xml:space="preserve">на  01.01.2025 года составила  337,43 тыс.рублей.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sz w:val="28"/>
          <w:szCs w:val="28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В нарушение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приказа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Министерства транспорта РФ от 28.09.2022 года №390 «Порядок оформления путевого листа» (с изменения от 05.05.2023г. №159)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в путевых листах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: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в разделе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«Сведения о водителе транспортного средства»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отсутствует: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 серия , номер и дата выдачи водительского удостоверения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(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п.6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-страховой номер индивидуального лицевого счета водителя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(п.6)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color w:val="000000"/>
          <w:sz w:val="28"/>
          <w:highlight w:val="none"/>
        </w:rPr>
        <w:t xml:space="preserve">дата (число, месяц, год), время (часы, минуты),  проведения  предрейсового, послерейсового медицинского осмотра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(п.6)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 отсутствуют сведения о  виде перевозки (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п.7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-не указаны  сведения о виде сообщения (городское,пригороднее, междугороднее) (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п.8)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 оборотной стороне формы путевого листа  в графе «место отправления, назначения»  не указывается точный  маршрут движения, адрес подачи автомобиля, который обосновывает производственный характер поездки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и подтверждает показания счетчика, в графе «подпись лица пользовавшегося автомобилем»  отсутствует подпись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лица  в распоряжении которого находился автомобиль.</w:t>
      </w:r>
      <w:r>
        <w:rPr>
          <w:rFonts w:ascii="Tinos" w:hAnsi="Tinos" w:cs="Tinos" w:eastAsiaTheme="minorHAnsi"/>
          <w:sz w:val="28"/>
          <w:szCs w:val="28"/>
          <w:highlight w:val="none"/>
          <w:u w:val="none"/>
        </w:rPr>
      </w:r>
      <w:r>
        <w:rPr>
          <w:rFonts w:eastAsiaTheme="minorHAnsi"/>
          <w:highlight w:val="none"/>
        </w:rPr>
      </w:r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b/>
          <w:sz w:val="28"/>
          <w:highlight w:val="none"/>
          <w:u w:val="none"/>
        </w:rPr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В нарушение 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 п.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7 ст.94 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 Федерального закона №44-ФЗ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 приемка товара (работ, услуг)  на соответствие условиям контракта осуществлялась 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без  оформления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документов о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результатах  проведенной экспертизы о приемке товаров (работ,услуг)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.</w:t>
      </w: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  <w:t xml:space="preserve">  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  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По результатам проведенного контрольного мероприятия были направлены: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 представ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ление  начальнику МКУ «Нагорьевская   АХС»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true"/>
        <w:jc w:val="both"/>
        <w:spacing w:lineRule="auto" w:line="240" w:after="0"/>
        <w:rPr>
          <w:rFonts w:ascii="Tinos" w:hAnsi="Tinos" w:cs="Tinos" w:eastAsia="Tinos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-информационное письмо  главе администрации  Нагорьевского сельского      поселения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2025-03-06T07:12:36Z</dcterms:modified>
</cp:coreProperties>
</file>