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33" w:after="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Информация о принятых  решениях и мерах</w:t>
      </w:r>
      <w:r/>
    </w:p>
    <w:p>
      <w:pPr>
        <w:jc w:val="center"/>
        <w:spacing w:lineRule="auto" w:line="233" w:after="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по результатам </w:t>
      </w:r>
      <w:r>
        <w:rPr>
          <w:rFonts w:ascii="Tinos" w:hAnsi="Tinos" w:cs="Tinos" w:eastAsia="Tinos"/>
          <w:b/>
          <w:sz w:val="28"/>
        </w:rPr>
        <w:t xml:space="preserve">проведенного </w:t>
      </w:r>
      <w:r/>
    </w:p>
    <w:p>
      <w:pPr>
        <w:jc w:val="center"/>
        <w:spacing w:lineRule="auto" w:line="233" w:after="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 </w:t>
      </w:r>
      <w:r>
        <w:rPr>
          <w:rFonts w:ascii="Tinos" w:hAnsi="Tinos" w:cs="Tinos" w:eastAsia="Tinos"/>
          <w:b/>
          <w:sz w:val="28"/>
        </w:rPr>
        <w:t xml:space="preserve">Контрольно-счетной комиссией Ровеньского района </w:t>
      </w:r>
      <w:r/>
    </w:p>
    <w:p>
      <w:pPr>
        <w:jc w:val="center"/>
        <w:spacing w:lineRule="auto" w:line="233" w:after="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в 2023 году  </w:t>
      </w:r>
      <w:r>
        <w:rPr>
          <w:rFonts w:ascii="Tinos" w:hAnsi="Tinos" w:cs="Tinos" w:eastAsia="Tinos"/>
          <w:b/>
          <w:sz w:val="28"/>
        </w:rPr>
        <w:t xml:space="preserve">контрольного мероприятия</w:t>
      </w:r>
      <w:r>
        <w:rPr>
          <w:rFonts w:ascii="Tinos" w:hAnsi="Tinos" w:cs="Tinos" w:eastAsia="Tinos"/>
          <w:b/>
          <w:sz w:val="28"/>
        </w:rPr>
      </w:r>
      <w:r/>
    </w:p>
    <w:p>
      <w:pPr>
        <w:spacing w:lineRule="auto" w:line="233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lineRule="auto" w:line="233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   По итогам реализации представления от 02.10.2023 года № 5, внесенного по результатам контрольного мероприятия «проверка средств, выделенных на финансовое обеспечение муниципального задания на оказание муниципальных услуг   в МБОУ «</w:t>
      </w:r>
      <w:r>
        <w:rPr>
          <w:rFonts w:ascii="Tinos" w:hAnsi="Tinos" w:cs="Tinos" w:eastAsia="Tinos"/>
          <w:sz w:val="28"/>
          <w:szCs w:val="28"/>
        </w:rPr>
        <w:t xml:space="preserve">Калиниченковская начальная  общеобразовательная школа Ровеньского района Белгородской области»</w:t>
      </w:r>
      <w:r>
        <w:rPr>
          <w:rFonts w:ascii="Tinos" w:hAnsi="Tinos" w:cs="Tinos" w:eastAsia="Tinos"/>
          <w:sz w:val="28"/>
        </w:rPr>
        <w:t xml:space="preserve">  в  2022 году и первом  полугодии  2023 года»  были приняты следующие меры: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lineRule="auto" w:line="233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требования  оформляются  первичные документы по учету труда;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lineRule="auto" w:line="233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оформляются «Оценочные листы» педагогическим  работникам и обслуживающему персоналу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в соответствии с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Положением  о распределении стимулирующей части фонда оплаты труда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contextualSpacing w:val="true"/>
        <w:jc w:val="both"/>
        <w:spacing w:lineRule="auto" w:line="240" w:after="0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-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устранены нарушения по  учету объектов основных средств и нематериальных активов;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contextualSpacing w:val="true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заказчиком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осуществляется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  своевременная оплата предоставленных услуг.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eastAsiaTheme="minorHAnsi"/>
        </w:rPr>
      </w:r>
    </w:p>
    <w:p>
      <w:pPr>
        <w:contextualSpacing w:val="true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 Управлением образования администрации Ровеньского района  в целях недопущения повторения нарушений проведена беседа с работниками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МКУ «Центр сопровождения развития образования» и руководителем учреждения,  и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сполнителям , допустившим нарушения, объявлены устные замечания.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3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3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3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2023-11-07T12:31:30Z</dcterms:modified>
</cp:coreProperties>
</file>