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38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Информация </w:t>
      </w:r>
      <w:r>
        <w:rPr>
          <w:rFonts w:ascii="Tinos" w:hAnsi="Tinos" w:cs="Tinos" w:eastAsia="Tinos"/>
          <w:b/>
          <w:sz w:val="28"/>
        </w:rPr>
      </w:r>
      <w:r/>
    </w:p>
    <w:p>
      <w:pPr>
        <w:jc w:val="center"/>
        <w:spacing w:lineRule="auto" w:line="238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 по результатам  экспертизы  проекта  решения  Муниципального совета Ровеньского района  «О местном бюджете  Ровеньского района  на 2025 год и плановый период 2026 и 2027 годов»</w:t>
      </w:r>
      <w:r>
        <w:rPr>
          <w:rFonts w:ascii="Tinos" w:hAnsi="Tinos" w:cs="Tinos" w:eastAsia="Tinos"/>
          <w:b/>
          <w:sz w:val="28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     В контрольно-счетную  комиссию  Ровеньского  района  представлен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45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местном бю</w:t>
      </w:r>
      <w:r>
        <w:rPr>
          <w:rFonts w:ascii="Times New Roman" w:hAnsi="Times New Roman" w:cs="Times New Roman"/>
          <w:sz w:val="28"/>
          <w:szCs w:val="28"/>
        </w:rPr>
        <w:t xml:space="preserve">джете Ровеньского района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  и  документы, согласно перечня  установленного ст. 184.2 Бюджетного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соответствии со ст.172 Бюджетного кодекса РФ проект решения  «О местном  бюджете  Ровеньского района на 2025 год и   плановый период 2026 и 2027 годов»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основывается на Прогнозе социально-экономического развития  Ровеньского района на 2025-2027 годы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,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основных направлениях бюджетной и налоговой политики на 2025 год и плановый период 2026 и 2027 годов, муниципальных программах.</w:t>
      </w:r>
      <w:r>
        <w:rPr>
          <w:rFonts w:ascii="Tinos" w:hAnsi="Tinos" w:cs="Tinos" w:eastAsia="Tinos"/>
          <w:sz w:val="28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</w:rPr>
        <w:t xml:space="preserve">    </w:t>
      </w:r>
      <w:r>
        <w:rPr>
          <w:rFonts w:ascii="Tinos" w:hAnsi="Tinos" w:cs="Tinos" w:eastAsia="Tinos"/>
          <w:sz w:val="28"/>
          <w:szCs w:val="28"/>
        </w:rPr>
        <w:t xml:space="preserve">   В соответствии со статьей 184.1 Бюджетного кодекса  РФ в представленном проекте  предлагаются к утверждению следующие основные характеристики местного  бюджета Ровеньского района: 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  <w:highlight w:val="yellow"/>
              </w:rPr>
            </w:pPr>
            <w:r>
              <w:rPr>
                <w:rFonts w:ascii="Tinos" w:hAnsi="Tinos" w:cs="Tinos" w:eastAsia="Tinos"/>
                <w:sz w:val="28"/>
                <w:szCs w:val="28"/>
                <w:highlight w:val="yellow"/>
              </w:rPr>
            </w:r>
            <w:r>
              <w:rPr>
                <w:rFonts w:ascii="Tinos" w:hAnsi="Tinos" w:cs="Tinos" w:eastAsia="Tinos"/>
                <w:highlight w:val="yellow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2025 год</w:t>
            </w:r>
            <w:r>
              <w:rPr>
                <w:rFonts w:ascii="Tinos" w:hAnsi="Tinos" w:cs="Tinos" w:eastAsia="Tinos"/>
              </w:rPr>
            </w:r>
            <w:r/>
          </w:p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(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тыс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.р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ублей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)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2026 год</w:t>
            </w:r>
            <w:r>
              <w:rPr>
                <w:rFonts w:ascii="Tinos" w:hAnsi="Tinos" w:cs="Tinos" w:eastAsia="Tinos"/>
              </w:rPr>
            </w:r>
            <w:r/>
          </w:p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(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тыс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.р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ублей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)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2027 год</w:t>
            </w:r>
            <w:r>
              <w:rPr>
                <w:rFonts w:ascii="Tinos" w:hAnsi="Tinos" w:cs="Tinos" w:eastAsia="Tinos"/>
              </w:rPr>
            </w:r>
            <w:r/>
          </w:p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(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тыс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.р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ублей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)</w:t>
            </w:r>
            <w:r>
              <w:rPr>
                <w:rFonts w:ascii="Tinos" w:hAnsi="Tinos" w:cs="Tinos" w:eastAsia="Tinos"/>
              </w:rPr>
            </w:r>
            <w:r/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Объем доходов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  <w:highlight w:val="none"/>
              </w:rPr>
            </w:pPr>
            <w:r>
              <w:rPr>
                <w:rFonts w:ascii="Tinos" w:hAnsi="Tinos" w:cs="Tinos" w:eastAsia="Tinos"/>
                <w:sz w:val="28"/>
                <w:szCs w:val="28"/>
                <w:highlight w:val="none"/>
              </w:rPr>
              <w:t xml:space="preserve">1551910,2</w:t>
            </w:r>
            <w:r>
              <w:rPr>
                <w:rFonts w:ascii="Tinos" w:hAnsi="Tinos" w:cs="Tinos" w:eastAsia="Tinos"/>
                <w:highlight w:val="none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      </w:t>
            </w:r>
            <w:r/>
            <w:r>
              <w:rPr>
                <w:rFonts w:ascii="Tinos" w:hAnsi="Tinos" w:cs="Tinos" w:eastAsia="Tinos"/>
                <w:sz w:val="28"/>
                <w:szCs w:val="28"/>
                <w:highlight w:val="none"/>
              </w:rPr>
              <w:t xml:space="preserve">1691513,8</w:t>
            </w:r>
            <w:r>
              <w:rPr>
                <w:rFonts w:ascii="Tinos" w:hAnsi="Tinos" w:cs="Tinos" w:eastAsia="Tinos"/>
                <w:highlight w:val="none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       </w:t>
            </w:r>
            <w:r/>
            <w:r>
              <w:rPr>
                <w:rFonts w:ascii="Tinos" w:hAnsi="Tinos" w:cs="Tinos" w:eastAsia="Tinos"/>
                <w:sz w:val="28"/>
                <w:szCs w:val="28"/>
                <w:highlight w:val="none"/>
              </w:rPr>
              <w:t xml:space="preserve">1672818,4</w:t>
            </w:r>
            <w:r>
              <w:rPr>
                <w:rFonts w:ascii="Tinos" w:hAnsi="Tinos" w:cs="Tinos" w:eastAsia="Tinos"/>
                <w:highlight w:val="none"/>
              </w:rPr>
            </w:r>
            <w:r/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Объем расходов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spacing w:lineRule="auto" w:line="235" w:after="0" w:afterAutospacing="0"/>
              <w:rPr>
                <w:rFonts w:ascii="Tinos" w:hAnsi="Tinos" w:cs="Tinos" w:eastAsia="Tinos"/>
                <w:highlight w:val="none"/>
              </w:rPr>
            </w:pPr>
            <w:r>
              <w:rPr>
                <w:rFonts w:ascii="Tinos" w:hAnsi="Tinos" w:cs="Tinos" w:eastAsia="Tinos"/>
                <w:sz w:val="28"/>
                <w:szCs w:val="28"/>
                <w:highlight w:val="none"/>
              </w:rPr>
              <w:t xml:space="preserve">1598828,9</w:t>
            </w:r>
            <w:r>
              <w:rPr>
                <w:rFonts w:ascii="Tinos" w:hAnsi="Tinos" w:cs="Tinos" w:eastAsia="Tinos"/>
                <w:highlight w:val="none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      </w:t>
            </w:r>
            <w:r>
              <w:rPr>
                <w:rFonts w:ascii="Tinos" w:hAnsi="Tinos" w:cs="Tinos" w:eastAsia="Tinos"/>
                <w:sz w:val="28"/>
                <w:szCs w:val="28"/>
                <w:highlight w:val="none"/>
              </w:rPr>
              <w:t xml:space="preserve">1691513,8</w:t>
            </w:r>
            <w:r>
              <w:rPr>
                <w:rFonts w:ascii="Tinos" w:hAnsi="Tinos" w:cs="Tinos" w:eastAsia="Tinos"/>
                <w:highlight w:val="none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        </w:t>
            </w:r>
            <w:r>
              <w:rPr>
                <w:rFonts w:ascii="Tinos" w:hAnsi="Tinos" w:cs="Tinos" w:eastAsia="Tinos"/>
              </w:rPr>
            </w:r>
            <w:r/>
            <w:r>
              <w:rPr>
                <w:rFonts w:ascii="Tinos" w:hAnsi="Tinos" w:cs="Tinos" w:eastAsia="Tinos"/>
                <w:sz w:val="28"/>
                <w:szCs w:val="28"/>
                <w:highlight w:val="none"/>
              </w:rPr>
              <w:t xml:space="preserve">1672818,4</w:t>
            </w:r>
            <w:r>
              <w:rPr>
                <w:rFonts w:ascii="Tinos" w:hAnsi="Tinos" w:cs="Tinos" w:eastAsia="Tinos"/>
                <w:highlight w:val="none"/>
              </w:rPr>
            </w:r>
            <w:r/>
          </w:p>
        </w:tc>
      </w:tr>
      <w:tr>
        <w:trPr/>
        <w:tc>
          <w:tcPr>
            <w:tcW w:w="2392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Дефицит</w:t>
            </w:r>
            <w:r>
              <w:rPr>
                <w:rFonts w:ascii="Tinos" w:hAnsi="Tinos" w:cs="Tinos" w:eastAsia="Tinos"/>
                <w:sz w:val="28"/>
                <w:szCs w:val="28"/>
              </w:rPr>
              <w:t xml:space="preserve"> (-)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left"/>
              <w:spacing w:lineRule="auto" w:line="235" w:after="0" w:afterAutospacing="0"/>
              <w:rPr>
                <w:rFonts w:ascii="Tinos" w:hAnsi="Tinos" w:cs="Tinos" w:eastAsia="Tinos"/>
                <w:highlight w:val="none"/>
              </w:rPr>
            </w:pPr>
            <w:r>
              <w:rPr>
                <w:rFonts w:ascii="Tinos" w:hAnsi="Tinos" w:cs="Tinos" w:eastAsia="Tinos"/>
                <w:sz w:val="28"/>
                <w:szCs w:val="28"/>
                <w:highlight w:val="none"/>
              </w:rPr>
              <w:t xml:space="preserve">          46918,7</w:t>
            </w:r>
            <w:r>
              <w:rPr>
                <w:rFonts w:ascii="Tinos" w:hAnsi="Tinos" w:cs="Tinos" w:eastAsia="Tinos"/>
                <w:highlight w:val="none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             0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both"/>
              <w:spacing w:lineRule="auto" w:line="235" w:after="0" w:afterAutospacing="0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              0</w:t>
            </w:r>
            <w:r>
              <w:rPr>
                <w:rFonts w:ascii="Tinos" w:hAnsi="Tinos" w:cs="Tinos" w:eastAsia="Tinos"/>
              </w:rPr>
            </w:r>
            <w:r/>
          </w:p>
        </w:tc>
      </w:tr>
    </w:tbl>
    <w:p>
      <w:pPr>
        <w:jc w:val="both"/>
        <w:spacing w:lineRule="auto" w:line="235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   </w:t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  <w:t xml:space="preserve">Запланированный объем доходов на 2025 год на  75916,9тыс. рублей или на  104,5% выше ожидаемого поступления на 2024 год. Расходы местного бюджета планируются на  </w:t>
      </w:r>
      <w:r>
        <w:rPr>
          <w:rFonts w:ascii="Tinos" w:hAnsi="Tinos" w:cs="Tinos" w:eastAsia="Tinos"/>
          <w:sz w:val="28"/>
          <w:highlight w:val="none"/>
        </w:rPr>
        <w:t xml:space="preserve">96833,3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.р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ублей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или на 106%  выше   ожидаемых расходов.</w:t>
      </w:r>
      <w:r/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/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35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  Размер дефицита на 2025 год соответствует требованиям п.3 статьи 92.1 Бюджетного кодекса  РФ,   соста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вляет  30% .</w:t>
      </w:r>
      <w:r>
        <w:rPr>
          <w:rFonts w:ascii="Tinos" w:hAnsi="Tinos" w:cs="Tinos" w:eastAsia="Tinos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  <w:t xml:space="preserve"> Требования статьи 96 Бюджетного кодекса РФ в части состава источников финансирования дефицита   местного  бюджета на 2025 год  соблюдены. В состав источников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включены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: </w:t>
      </w:r>
      <w:r>
        <w:rPr>
          <w:rFonts w:ascii="Tinos" w:hAnsi="Tinos" w:cs="Tinos" w:eastAsia="Tinos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  <w:t xml:space="preserve">изменение остатков средств на счетах по учету средств бюджета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35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b/>
          <w:sz w:val="28"/>
          <w:szCs w:val="28"/>
          <w:highlight w:val="none"/>
        </w:rPr>
        <w:t xml:space="preserve">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Доходы местного  бюджета на 2025 год предусмотрены в объеме 1551910,2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тыс. рублей,  том числе: собственные доходы в сумме 378490тыс. рублей или  25% от общей суммы доходов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, безвозмездные поступления в сумме 1173420,2тыс</w:t>
      </w:r>
      <w:r>
        <w:rPr>
          <w:rFonts w:ascii="Tinos" w:hAnsi="Tinos" w:cs="Tinos" w:eastAsia="Tinos"/>
          <w:b/>
          <w:sz w:val="28"/>
          <w:szCs w:val="28"/>
          <w:highlight w:val="none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рублей или  75%.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  <w:t xml:space="preserve">   В состав собственных доходов местного бюджета на 2025 год  входят:</w:t>
      </w:r>
      <w:r>
        <w:rPr>
          <w:rFonts w:ascii="Tinos" w:hAnsi="Tinos" w:cs="Tinos" w:eastAsia="Tinos"/>
          <w:highlight w:val="none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 налоговые доходы в сумме 366196,0 тыс. рублей или  97% от собственных доходов; </w:t>
      </w:r>
      <w:r>
        <w:rPr>
          <w:rFonts w:ascii="Tinos" w:hAnsi="Tinos" w:cs="Tinos" w:eastAsia="Tinos"/>
          <w:highlight w:val="none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-неналоговые доходы в сумме  12294,0тыс. рублей или  3% от собственных доходов.</w:t>
      </w:r>
      <w:r>
        <w:rPr>
          <w:rFonts w:ascii="Tinos" w:hAnsi="Tinos" w:cs="Tinos" w:eastAsia="Tinos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35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  Проектом решения  расходы местного бюджета  на 2025 год планируются в размере  1598828,9 тыс. рублей, что  выше  ожидаемых расходов на 2024 год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на   96833,3тыс. рублей или на 106%.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На плановый период 2026 и 2027 год расходы запланированы в сумме 1691513,8 тыс. рублей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,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в том числе условно утвержденные в сумме 14548,0тыс.рублей и   1672818,4тыс. рублей в том числе условно утвержденные в сумме  31225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тыс.рублей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</w:t>
      </w:r>
      <w:r/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</w:p>
    <w:p>
      <w:pPr>
        <w:jc w:val="both"/>
        <w:spacing w:lineRule="auto" w:line="235" w:after="0" w:afterAutospacing="0"/>
        <w:rPr>
          <w:rFonts w:ascii="Tinos" w:hAnsi="Tinos" w:cs="Tinos" w:eastAsia="Tinos"/>
          <w:color w:val="000000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  <w:t xml:space="preserve">На</w:t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  <w:t xml:space="preserve"> 2025 год в рамках реализации  11 муниципальных программ расходы составят 1420403,8 тыс. руб. или 88,8% </w:t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  <w:t xml:space="preserve">от о</w:t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  <w:t xml:space="preserve">бщих расходов бюджета</w:t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  <w:t xml:space="preserve">на 2026 год – 1522911,8тыс.рублей или  90%, 2027 год – 1489624,0тыс. рублей  или 89%.</w:t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  <w:shd w:val="clear" w:fill="FFFFFF" w:color="auto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jc w:val="both"/>
        <w:spacing w:lineRule="auto" w:line="235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   В соответствии с п.3 ст.184.1 Бюджетного кодекса РФ утверждены условно утвержденные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расходы на плановый период 2026 и 2027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годов в сумме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14548,0тыс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.р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ублей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и  31225,0 тыс.рублей, что составляет  2,5%,  5,0%. </w:t>
      </w:r>
      <w:r/>
      <w:r/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</w:p>
    <w:p>
      <w:pPr>
        <w:jc w:val="both"/>
        <w:spacing w:lineRule="auto" w:line="235" w:after="0" w:afterAutospacing="0"/>
        <w:rPr>
          <w:rFonts w:ascii="Tinos" w:hAnsi="Tinos" w:cs="Tinos" w:eastAsia="Tinos"/>
          <w:color w:val="000000"/>
          <w:sz w:val="28"/>
          <w:szCs w:val="28"/>
          <w:highlight w:val="none"/>
        </w:rPr>
      </w:pP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</w:rPr>
        <w:t xml:space="preserve">   По результатам проведенной экспертизы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проекта решения Муниципального совета  муниципального района «</w:t>
      </w:r>
      <w:r>
        <w:rPr>
          <w:rFonts w:ascii="Tinos" w:hAnsi="Tinos" w:cs="Tinos" w:eastAsia="Tinos"/>
          <w:sz w:val="28"/>
          <w:szCs w:val="28"/>
        </w:rPr>
        <w:t xml:space="preserve">Ровеньский</w:t>
      </w:r>
      <w:r>
        <w:rPr>
          <w:rFonts w:ascii="Tinos" w:hAnsi="Tinos" w:cs="Tinos" w:eastAsia="Tinos"/>
          <w:sz w:val="28"/>
          <w:szCs w:val="28"/>
        </w:rPr>
        <w:t xml:space="preserve"> район»  «О  местном бюджете Ровеньского района на 2025 год  и плановый период  2026 и 2027годов»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Контрольно-счетная   комиссия  Ровеньского района  направила заключение в </w:t>
      </w:r>
      <w:r>
        <w:rPr>
          <w:rFonts w:ascii="Tinos" w:hAnsi="Tinos" w:cs="Tinos" w:eastAsia="Tinos"/>
          <w:sz w:val="28"/>
          <w:szCs w:val="28"/>
        </w:rPr>
        <w:t xml:space="preserve"> Муниципальный  совет Ровеньского района.</w:t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</w:p>
    <w:p>
      <w:pPr>
        <w:jc w:val="both"/>
        <w:spacing w:lineRule="auto" w:line="235" w:after="0" w:afterAutospacing="0"/>
        <w:rPr>
          <w:rFonts w:ascii="Tinos" w:hAnsi="Tinos" w:cs="Tinos" w:eastAsia="Tinos"/>
          <w:color w:val="000000"/>
          <w:sz w:val="28"/>
          <w:szCs w:val="28"/>
          <w:highlight w:val="none"/>
        </w:rPr>
      </w:pP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</w:p>
    <w:p>
      <w:pPr>
        <w:jc w:val="both"/>
        <w:spacing w:lineRule="auto" w:line="235" w:after="0" w:afterAutospacing="0"/>
        <w:rPr>
          <w:rFonts w:ascii="Tinos" w:hAnsi="Tinos" w:cs="Tinos" w:eastAsia="Tinos"/>
          <w:color w:val="000000"/>
          <w:sz w:val="28"/>
          <w:szCs w:val="28"/>
          <w:highlight w:val="none"/>
        </w:rPr>
      </w:pP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  <w:r>
        <w:rPr>
          <w:rFonts w:ascii="Tinos" w:hAnsi="Tinos" w:cs="Tinos" w:eastAsia="Tinos"/>
          <w:color w:val="000000"/>
          <w:sz w:val="28"/>
          <w:szCs w:val="28"/>
          <w:highlight w:val="none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2024-12-25T09:00:00Z</dcterms:modified>
</cp:coreProperties>
</file>