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первый квартал  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   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первый квартал 2023</w:t>
      </w:r>
      <w:r>
        <w:rPr>
          <w:rFonts w:ascii="Tinos" w:hAnsi="Tinos" w:cs="Tinos" w:eastAsia="Tinos"/>
          <w:sz w:val="28"/>
          <w:szCs w:val="28"/>
        </w:rPr>
        <w:t xml:space="preserve">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</w:t>
      </w:r>
      <w:r>
        <w:rPr>
          <w:rFonts w:ascii="Tinos" w:hAnsi="Tinos" w:cs="Tinos" w:eastAsia="Tinos"/>
          <w:sz w:val="28"/>
          <w:szCs w:val="28"/>
        </w:rPr>
        <w:t xml:space="preserve"> Ровеньского  района </w:t>
      </w:r>
      <w:r>
        <w:rPr>
          <w:rFonts w:ascii="Tinos" w:hAnsi="Tinos" w:cs="Tinos" w:eastAsia="Tinos"/>
          <w:sz w:val="28"/>
          <w:szCs w:val="28"/>
        </w:rPr>
        <w:t xml:space="preserve">  на 2023 год утвержден решением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Муниципального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Совета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от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23.12.2022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года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№58/416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«Об утверждении местного бюджета  Ровеньского района на 2023 год и плановый период 2024 и 2025 годов»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по доходам в сумме </w:t>
      </w:r>
      <w:r>
        <w:rPr>
          <w:rFonts w:ascii="Tinos" w:hAnsi="Tinos" w:cs="Tinos" w:eastAsia="Tinos"/>
          <w:sz w:val="28"/>
        </w:rPr>
        <w:t xml:space="preserve">1346879,0тыс. рублей, расходам 1409078,3тыс. рублей, дефицит 62199,3тыс. рублей.</w:t>
      </w:r>
      <w:r>
        <w:rPr>
          <w:rFonts w:ascii="Tinos" w:hAnsi="Tinos" w:cs="Tinos" w:eastAsia="Tinos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бюдже</w:t>
      </w:r>
      <w:r>
        <w:rPr>
          <w:rFonts w:ascii="Tinos" w:hAnsi="Tinos" w:cs="Tinos" w:eastAsia="Tinos"/>
          <w:sz w:val="28"/>
          <w:szCs w:val="28"/>
        </w:rPr>
        <w:t xml:space="preserve">та на 1.04.2023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31934,1</w:t>
      </w:r>
      <w:r>
        <w:rPr>
          <w:rFonts w:ascii="Tinos" w:hAnsi="Tinos" w:cs="Tinos" w:eastAsia="Tinos"/>
          <w:sz w:val="28"/>
          <w:szCs w:val="28"/>
        </w:rPr>
        <w:t xml:space="preserve"> тыс. рублей или 24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утвержденных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68584,5</w:t>
      </w:r>
      <w:r>
        <w:rPr>
          <w:rFonts w:ascii="Tinos" w:hAnsi="Tinos" w:cs="Tinos" w:eastAsia="Tinos"/>
          <w:sz w:val="28"/>
          <w:szCs w:val="28"/>
        </w:rPr>
        <w:t xml:space="preserve">тыс. рублей  или 24%,  от утвержденных  доходов 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</w:rPr>
      </w:r>
      <w:r/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250758,6тыс. рублей или  24</w:t>
      </w:r>
      <w:r>
        <w:rPr>
          <w:rFonts w:ascii="Tinos" w:hAnsi="Tinos" w:cs="Tinos" w:eastAsia="Tinos"/>
          <w:sz w:val="28"/>
          <w:szCs w:val="28"/>
        </w:rPr>
        <w:t xml:space="preserve">%. </w:t>
      </w:r>
      <w:r>
        <w:rPr>
          <w:rFonts w:ascii="Tinos" w:hAnsi="Tinos" w:cs="Tinos" w:eastAsia="Tinos"/>
          <w:sz w:val="28"/>
          <w:szCs w:val="28"/>
          <w:highlight w:val="none"/>
        </w:rPr>
      </w:r>
      <w:r/>
    </w:p>
    <w:p>
      <w:pPr>
        <w:pStyle w:val="816"/>
        <w:jc w:val="both"/>
        <w:spacing w:lineRule="auto" w:line="254"/>
        <w:rPr>
          <w:rFonts w:ascii="Tinos" w:hAnsi="Tinos" w:cs="Tinos" w:eastAsia="Tinos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2022 года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выше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 объем  поступлений доходов    на 104 %, в том числе собственных   доходов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 111%.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первый квартал 2023</w:t>
      </w:r>
      <w:r>
        <w:rPr>
          <w:rFonts w:ascii="Tinos" w:hAnsi="Tinos" w:cs="Tinos" w:eastAsia="Tinos"/>
          <w:sz w:val="28"/>
          <w:szCs w:val="28"/>
        </w:rPr>
        <w:t xml:space="preserve"> года составили  322197,7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 23%, от утвержденного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</w:rPr>
      </w:r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с аналогичным периодом   2022 года 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в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ыше объем расходов </w:t>
      </w:r>
      <w:r>
        <w:rPr>
          <w:rFonts w:ascii="Tinos" w:hAnsi="Tinos" w:cs="Tinos" w:eastAsia="Tinos"/>
          <w:sz w:val="28"/>
          <w:szCs w:val="28"/>
          <w:highlight w:val="none"/>
        </w:rPr>
        <w:t xml:space="preserve"> на 113%.</w:t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  первый квартал  2023 </w:t>
      </w:r>
      <w:r>
        <w:rPr>
          <w:rFonts w:ascii="Tinos" w:hAnsi="Tinos" w:cs="Tinos" w:eastAsia="Tinos"/>
          <w:sz w:val="28"/>
          <w:szCs w:val="28"/>
        </w:rPr>
        <w:t xml:space="preserve">года  являлись: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52%;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- 16</w:t>
      </w:r>
      <w:r>
        <w:rPr>
          <w:rFonts w:ascii="Tinos" w:hAnsi="Tinos" w:cs="Tinos" w:eastAsia="Tinos"/>
          <w:sz w:val="28"/>
          <w:szCs w:val="28"/>
        </w:rPr>
        <w:t xml:space="preserve">%;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-общегосударственные вопросы -8%</w:t>
      </w:r>
      <w:r/>
      <w:r>
        <w:rPr>
          <w:rFonts w:ascii="Tinos" w:hAnsi="Tinos" w:cs="Tinos" w:eastAsia="Tinos"/>
          <w:sz w:val="28"/>
          <w:szCs w:val="28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-культура, кинематография   - </w:t>
      </w:r>
      <w:r>
        <w:rPr>
          <w:rFonts w:ascii="Tinos" w:hAnsi="Tinos" w:cs="Tinos" w:eastAsia="Tinos"/>
          <w:sz w:val="28"/>
          <w:szCs w:val="28"/>
        </w:rPr>
        <w:t xml:space="preserve"> 6%</w:t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-национальная экономика - 6%</w:t>
      </w:r>
      <w:r>
        <w:rPr>
          <w:rFonts w:ascii="Tinos" w:hAnsi="Tinos" w:cs="Tinos" w:eastAsia="Tinos"/>
          <w:sz w:val="28"/>
          <w:szCs w:val="28"/>
          <w:highlight w:val="none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-физическая культура и спорт- 5%.</w:t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муниципальных программ за счет средств местного бюджета составило </w:t>
      </w:r>
      <w:r>
        <w:rPr>
          <w:rFonts w:ascii="Tinos" w:hAnsi="Tinos" w:cs="Tinos" w:eastAsia="Tinos"/>
          <w:sz w:val="28"/>
          <w:szCs w:val="28"/>
        </w:rPr>
        <w:t xml:space="preserve"> 102853,47тыс.рублей или 24 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  <w:szCs w:val="28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  <w:highlight w:val="none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первый квартал 2023 года исполнен с превышением расходов над доходами   в сумме  </w:t>
      </w:r>
      <w:r>
        <w:rPr>
          <w:rFonts w:ascii="Tinos" w:hAnsi="Tinos" w:cs="Tinos" w:eastAsia="Tinos"/>
          <w:sz w:val="28"/>
          <w:szCs w:val="28"/>
        </w:rPr>
        <w:t xml:space="preserve">2836,6тыс. рублей.</w:t>
      </w:r>
      <w:r>
        <w:rPr>
          <w:rFonts w:ascii="Tinos" w:hAnsi="Tinos" w:cs="Tinos" w:eastAsia="Tinos"/>
          <w:sz w:val="28"/>
          <w:szCs w:val="28"/>
        </w:rPr>
      </w:r>
      <w:r/>
      <w:r>
        <w:rPr>
          <w:rFonts w:ascii="Tinos" w:hAnsi="Tinos" w:cs="Tinos" w:eastAsia="Tinos"/>
          <w:sz w:val="28"/>
          <w:szCs w:val="28"/>
          <w:highlight w:val="none"/>
        </w:rPr>
      </w:r>
      <w:r>
        <w:rPr>
          <w:rFonts w:ascii="Tinos" w:hAnsi="Tinos" w:cs="Tinos" w:eastAsia="Tinos"/>
          <w:sz w:val="28"/>
          <w:szCs w:val="28"/>
          <w:highlight w:val="none"/>
        </w:rPr>
      </w:r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     Нарушений порядка исполнения местного бюджета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первый квартал 2023</w:t>
      </w:r>
      <w:r>
        <w:rPr>
          <w:rFonts w:ascii="Tinos" w:hAnsi="Tinos" w:cs="Tinos" w:eastAsia="Tinos"/>
          <w:sz w:val="28"/>
          <w:szCs w:val="28"/>
        </w:rPr>
        <w:t xml:space="preserve"> года не установлено.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2023-04-26T08:29:16Z</dcterms:modified>
</cp:coreProperties>
</file>