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nos" w:hAnsi="Tinos" w:cs="Tinos" w:eastAsia="Tinos"/>
          <w:b/>
          <w:sz w:val="36"/>
          <w:szCs w:val="28"/>
        </w:rPr>
      </w:pPr>
      <w:r>
        <w:rPr>
          <w:rFonts w:ascii="Tinos" w:hAnsi="Tinos" w:cs="Tinos" w:eastAsia="Tinos"/>
          <w:b/>
          <w:sz w:val="36"/>
          <w:szCs w:val="28"/>
        </w:rPr>
        <w:t xml:space="preserve">СТАНДАРТ  ОРГАНИЗАЦИИ ДЕЯТЕЛЬНОСТИ</w:t>
      </w:r>
      <w:r>
        <w:rPr>
          <w:rFonts w:ascii="Tinos" w:hAnsi="Tinos" w:cs="Tinos" w:eastAsia="Tinos"/>
          <w:b/>
          <w:sz w:val="36"/>
          <w:szCs w:val="28"/>
        </w:rPr>
        <w:br/>
      </w:r>
      <w:r/>
    </w:p>
    <w:p>
      <w:pPr>
        <w:jc w:val="center"/>
        <w:spacing w:lineRule="auto" w:line="240" w:after="0"/>
        <w:rPr>
          <w:rFonts w:ascii="Tinos" w:hAnsi="Tinos" w:cs="Tinos" w:eastAsia="Tinos"/>
          <w:b/>
          <w:sz w:val="36"/>
          <w:szCs w:val="28"/>
        </w:rPr>
      </w:pPr>
      <w:r>
        <w:rPr>
          <w:rFonts w:ascii="Tinos" w:hAnsi="Tinos" w:cs="Tinos" w:eastAsia="Tinos"/>
          <w:b/>
          <w:sz w:val="36"/>
          <w:szCs w:val="28"/>
        </w:rPr>
        <w:t xml:space="preserve">КОНТРОЛЬНО - СЧЕТНОЙ КОМИССИИ</w:t>
      </w:r>
      <w:r>
        <w:rPr>
          <w:rFonts w:ascii="Tinos" w:hAnsi="Tinos" w:cs="Tinos" w:eastAsia="Tinos"/>
          <w:b/>
          <w:sz w:val="36"/>
          <w:szCs w:val="28"/>
        </w:rPr>
      </w:r>
      <w:r/>
    </w:p>
    <w:p>
      <w:pPr>
        <w:jc w:val="center"/>
        <w:spacing w:lineRule="auto" w:line="240" w:after="0"/>
        <w:rPr>
          <w:rFonts w:ascii="Tinos" w:hAnsi="Tinos" w:cs="Tinos" w:eastAsia="Tinos"/>
          <w:sz w:val="36"/>
        </w:rPr>
      </w:pPr>
      <w:r>
        <w:rPr>
          <w:rFonts w:ascii="Tinos" w:hAnsi="Tinos" w:cs="Tinos" w:eastAsia="Tinos"/>
          <w:b/>
          <w:sz w:val="36"/>
          <w:szCs w:val="28"/>
        </w:rPr>
        <w:t xml:space="preserve">РОВЕНЬСКОГО РАЙОНА</w:t>
      </w:r>
      <w:r>
        <w:rPr>
          <w:rFonts w:ascii="Tinos" w:hAnsi="Tinos" w:cs="Tinos" w:eastAsia="Tinos"/>
          <w:b/>
          <w:sz w:val="36"/>
          <w:szCs w:val="28"/>
        </w:rPr>
      </w:r>
      <w:r/>
    </w:p>
    <w:p>
      <w:pPr>
        <w:pStyle w:val="816"/>
        <w:jc w:val="right"/>
      </w:pPr>
      <w:r>
        <w:t xml:space="preserve">                                                                   </w:t>
      </w:r>
      <w:r/>
    </w:p>
    <w:p>
      <w:pPr>
        <w:jc w:val="both"/>
        <w:spacing w:lineRule="auto" w:line="240" w:after="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  <w:jc w:val="center"/>
      </w:pPr>
      <w:r>
        <w:rPr>
          <w:b/>
          <w:bCs/>
          <w:sz w:val="40"/>
          <w:szCs w:val="40"/>
        </w:rPr>
        <w:t xml:space="preserve">«ПОДГОТОВКА ГОДОВОГО ОТЧЕТА</w:t>
      </w:r>
      <w:r>
        <w:rPr>
          <w:sz w:val="40"/>
          <w:szCs w:val="40"/>
        </w:rPr>
      </w:r>
      <w:r/>
    </w:p>
    <w:p>
      <w:pPr>
        <w:pStyle w:val="816"/>
        <w:jc w:val="center"/>
      </w:pPr>
      <w:r>
        <w:rPr>
          <w:b/>
          <w:bCs/>
          <w:sz w:val="40"/>
          <w:szCs w:val="40"/>
        </w:rPr>
        <w:t xml:space="preserve">О ДЕЯТЕЛЬНОСТИ КОНТРОЛЬНО-</w:t>
      </w:r>
      <w:r>
        <w:rPr>
          <w:b/>
          <w:bCs/>
          <w:sz w:val="40"/>
          <w:szCs w:val="40"/>
        </w:rPr>
      </w:r>
      <w:r/>
    </w:p>
    <w:p>
      <w:pPr>
        <w:pStyle w:val="816"/>
        <w:jc w:val="center"/>
      </w:pPr>
      <w:r>
        <w:rPr>
          <w:b/>
          <w:bCs/>
          <w:sz w:val="40"/>
          <w:szCs w:val="40"/>
        </w:rPr>
        <w:t xml:space="preserve">СЧЕТНОЙ  КОМИССИИ</w:t>
      </w:r>
      <w:r>
        <w:rPr>
          <w:b/>
          <w:bCs/>
          <w:sz w:val="40"/>
          <w:szCs w:val="40"/>
        </w:rPr>
      </w:r>
      <w:r/>
    </w:p>
    <w:p>
      <w:pPr>
        <w:pStyle w:val="816"/>
        <w:jc w:val="center"/>
      </w:pPr>
      <w:r>
        <w:rPr>
          <w:b/>
          <w:bCs/>
          <w:sz w:val="40"/>
          <w:szCs w:val="40"/>
        </w:rPr>
        <w:t xml:space="preserve">РОВЕНЬСКОГО  РАЙОНА»</w:t>
      </w:r>
      <w:r>
        <w:rPr>
          <w:b/>
          <w:bCs/>
          <w:sz w:val="40"/>
          <w:szCs w:val="40"/>
        </w:rPr>
      </w:r>
      <w:r/>
    </w:p>
    <w:p>
      <w:pPr>
        <w:pStyle w:val="816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/>
    </w:p>
    <w:p>
      <w:pPr>
        <w:pStyle w:val="816"/>
        <w:jc w:val="center"/>
        <w:rPr>
          <w:rFonts w:ascii="Tinos" w:hAnsi="Tinos" w:cs="Tinos" w:eastAsia="Tinos"/>
          <w:b w:val="false"/>
          <w:sz w:val="28"/>
          <w:szCs w:val="32"/>
        </w:rPr>
      </w:pPr>
      <w:r>
        <w:rPr>
          <w:rFonts w:ascii="Tinos" w:hAnsi="Tinos" w:cs="Tinos" w:eastAsia="Tinos"/>
          <w:b w:val="false"/>
          <w:bCs/>
          <w:sz w:val="28"/>
          <w:szCs w:val="32"/>
        </w:rPr>
      </w:r>
      <w:r>
        <w:rPr>
          <w:rFonts w:ascii="Tinos" w:hAnsi="Tinos" w:cs="Tinos" w:eastAsia="Tinos"/>
          <w:b w:val="false"/>
          <w:bCs/>
          <w:sz w:val="28"/>
          <w:szCs w:val="32"/>
        </w:rPr>
        <w:t xml:space="preserve">(утвержден распоряжением контрольно - счетной комиссии Ровеньского </w:t>
      </w:r>
      <w:r/>
    </w:p>
    <w:p>
      <w:pPr>
        <w:pStyle w:val="816"/>
        <w:jc w:val="center"/>
        <w:rPr>
          <w:rFonts w:ascii="Tinos" w:hAnsi="Tinos" w:cs="Tinos" w:eastAsia="Tinos"/>
          <w:b w:val="false"/>
          <w:sz w:val="28"/>
        </w:rPr>
      </w:pPr>
      <w:r>
        <w:rPr>
          <w:rFonts w:ascii="Tinos" w:hAnsi="Tinos" w:cs="Tinos" w:eastAsia="Tinos"/>
          <w:b w:val="false"/>
          <w:bCs/>
          <w:sz w:val="28"/>
          <w:szCs w:val="32"/>
        </w:rPr>
        <w:t xml:space="preserve">района от 09.01.2023 г. №115)</w:t>
      </w:r>
      <w:r>
        <w:rPr>
          <w:rFonts w:ascii="Tinos" w:hAnsi="Tinos" w:cs="Tinos" w:eastAsia="Tinos"/>
          <w:b w:val="false"/>
          <w:sz w:val="28"/>
        </w:rPr>
      </w:r>
      <w:r/>
    </w:p>
    <w:p>
      <w:pPr>
        <w:pStyle w:val="816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/>
    </w:p>
    <w:p>
      <w:pPr>
        <w:pStyle w:val="816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/>
    </w:p>
    <w:p>
      <w:pPr>
        <w:jc w:val="right"/>
        <w:spacing w:lineRule="auto" w:line="240" w:after="0"/>
        <w:rPr>
          <w:rFonts w:ascii="Times New Roman" w:hAnsi="Times New Roman"/>
        </w:rPr>
      </w:pPr>
      <w:r>
        <w:rPr>
          <w:b/>
          <w:bCs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/>
        </w:rPr>
      </w:r>
      <w:r/>
    </w:p>
    <w:p>
      <w:pPr>
        <w:pStyle w:val="816"/>
        <w:jc w:val="right"/>
      </w:pPr>
      <w:r>
        <w:t xml:space="preserve">                                                                                                 </w:t>
      </w:r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w:rPr>
          <w:b/>
        </w:rPr>
        <w:t xml:space="preserve">                                                                      2023</w:t>
      </w:r>
      <w:r>
        <w:rPr>
          <w:b/>
        </w:rPr>
        <w:t xml:space="preserve"> год</w:t>
      </w:r>
      <w:r>
        <w:rPr>
          <w:b/>
        </w:rPr>
      </w:r>
      <w:r/>
    </w:p>
    <w:p>
      <w:pPr>
        <w:pStyle w:val="816"/>
        <w:rPr>
          <w:color w:val="auto"/>
        </w:rPr>
        <w:sectPr>
          <w:footnotePr/>
          <w:endnotePr/>
          <w:type w:val="nextPage"/>
          <w:pgSz w:w="11906" w:h="17338" w:orient="portrait"/>
          <w:pgMar w:top="1135" w:right="850" w:bottom="1071" w:left="1434" w:header="709" w:footer="709" w:gutter="0"/>
          <w:cols w:num="1" w:sep="0" w:space="720" w:equalWidth="1"/>
          <w:docGrid w:linePitch="360"/>
        </w:sectPr>
      </w:pPr>
      <w:r>
        <w:rPr>
          <w:color w:val="auto"/>
        </w:rPr>
      </w:r>
      <w:r>
        <w:rPr>
          <w:color w:val="auto"/>
        </w:rPr>
      </w:r>
      <w:r/>
    </w:p>
    <w:tbl>
      <w:tblPr>
        <w:tblW w:w="13338" w:type="dxa"/>
        <w:tbl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4299"/>
      </w:tblGrid>
      <w:tr>
        <w:trPr>
          <w:trHeight w:val="117"/>
        </w:trPr>
        <w:tc>
          <w:tcPr>
            <w:tcW w:w="9039" w:type="dxa"/>
            <w:textDirection w:val="lrTb"/>
            <w:noWrap w:val="false"/>
          </w:tcPr>
          <w:p>
            <w:pPr>
              <w:pStyle w:val="816"/>
              <w:ind w:right="-4989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                                                          Содержание </w:t>
            </w:r>
            <w:r>
              <w:rPr>
                <w:b/>
                <w:bCs/>
                <w:color w:val="auto"/>
                <w:sz w:val="28"/>
                <w:szCs w:val="28"/>
              </w:rPr>
            </w:r>
            <w:r/>
          </w:p>
          <w:p>
            <w:pPr>
              <w:pStyle w:val="816"/>
              <w:ind w:right="-4989"/>
              <w:jc w:val="both"/>
              <w:rPr>
                <w:color w:val="auto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</w:r>
            <w:r>
              <w:rPr>
                <w:b/>
                <w:bCs/>
                <w:color w:val="auto"/>
                <w:sz w:val="28"/>
                <w:szCs w:val="28"/>
              </w:rPr>
            </w:r>
            <w:r/>
          </w:p>
          <w:p>
            <w:pPr>
              <w:pStyle w:val="816"/>
              <w:ind w:right="-4989"/>
              <w:jc w:val="both"/>
            </w:pPr>
            <w:r>
              <w:rPr>
                <w:sz w:val="28"/>
                <w:szCs w:val="28"/>
              </w:rPr>
              <w:t xml:space="preserve">1. Общие положения                                                                                      3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6"/>
              <w:ind w:right="-4989"/>
              <w:jc w:val="both"/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99" w:type="dxa"/>
            <w:textDirection w:val="lrTb"/>
            <w:noWrap w:val="false"/>
          </w:tcPr>
          <w:p>
            <w:pPr>
              <w:pStyle w:val="816"/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17"/>
        </w:trPr>
        <w:tc>
          <w:tcPr>
            <w:tcW w:w="9039" w:type="dxa"/>
            <w:textDirection w:val="lrTb"/>
            <w:noWrap w:val="false"/>
          </w:tcPr>
          <w:p>
            <w:pPr>
              <w:pStyle w:val="816"/>
            </w:pPr>
            <w:r>
              <w:rPr>
                <w:sz w:val="28"/>
                <w:szCs w:val="28"/>
              </w:rPr>
              <w:t xml:space="preserve">2. Цели, задачи и принципы формирования годового отчета</w:t>
            </w:r>
            <w:r>
              <w:rPr>
                <w:sz w:val="28"/>
                <w:szCs w:val="28"/>
              </w:rPr>
              <w:t xml:space="preserve">                    3         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6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99" w:type="dxa"/>
            <w:textDirection w:val="lrTb"/>
            <w:noWrap w:val="false"/>
          </w:tcPr>
          <w:p>
            <w:pPr>
              <w:pStyle w:val="816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17"/>
        </w:trPr>
        <w:tc>
          <w:tcPr>
            <w:tcW w:w="9039" w:type="dxa"/>
            <w:textDirection w:val="lrTb"/>
            <w:noWrap w:val="false"/>
          </w:tcPr>
          <w:p>
            <w:pPr>
              <w:pStyle w:val="816"/>
            </w:pPr>
            <w:r>
              <w:rPr>
                <w:sz w:val="28"/>
                <w:szCs w:val="28"/>
              </w:rPr>
              <w:t xml:space="preserve">3. Структура годового отчета                                                    </w:t>
            </w:r>
            <w:r>
              <w:rPr>
                <w:sz w:val="28"/>
                <w:szCs w:val="28"/>
              </w:rPr>
              <w:t xml:space="preserve">                    3    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99" w:type="dxa"/>
            <w:textDirection w:val="lrTb"/>
            <w:noWrap w:val="false"/>
          </w:tcPr>
          <w:p>
            <w:pPr>
              <w:pStyle w:val="816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6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17"/>
        </w:trPr>
        <w:tc>
          <w:tcPr>
            <w:tcW w:w="9039" w:type="dxa"/>
            <w:textDirection w:val="lrTb"/>
            <w:noWrap w:val="false"/>
          </w:tcPr>
          <w:p>
            <w:pPr>
              <w:pStyle w:val="816"/>
            </w:pPr>
            <w:r>
              <w:rPr>
                <w:sz w:val="28"/>
                <w:szCs w:val="28"/>
              </w:rPr>
              <w:t xml:space="preserve">4. Порядок  формирования годового отчета</w:t>
            </w:r>
            <w:r>
              <w:rPr>
                <w:sz w:val="28"/>
                <w:szCs w:val="28"/>
              </w:rPr>
              <w:t xml:space="preserve">                                                4         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99" w:type="dxa"/>
            <w:textDirection w:val="lrTb"/>
            <w:noWrap w:val="false"/>
          </w:tcPr>
          <w:p>
            <w:pPr>
              <w:pStyle w:val="816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6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117"/>
        </w:trPr>
        <w:tc>
          <w:tcPr>
            <w:tcW w:w="9039" w:type="dxa"/>
            <w:textDirection w:val="lrTb"/>
            <w:noWrap w:val="false"/>
          </w:tcPr>
          <w:p>
            <w:pPr>
              <w:pStyle w:val="816"/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  <w:t xml:space="preserve"> Порядок утверждения годового отчета    </w:t>
            </w: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  4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4299" w:type="dxa"/>
            <w:textDirection w:val="lrTb"/>
            <w:noWrap w:val="false"/>
          </w:tcPr>
          <w:p>
            <w:pPr>
              <w:pStyle w:val="816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16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/>
      <w:r/>
    </w:p>
    <w:p>
      <w:pPr>
        <w:pStyle w:val="816"/>
      </w:pPr>
      <w:r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</w:r>
      <w:r/>
    </w:p>
    <w:p>
      <w:pPr>
        <w:pStyle w:val="816"/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816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p>
      <w:pPr>
        <w:pStyle w:val="8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16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816"/>
        <w:jc w:val="center"/>
      </w:pPr>
      <w:r>
        <w:rPr>
          <w:b/>
          <w:bCs/>
          <w:sz w:val="28"/>
          <w:szCs w:val="28"/>
        </w:rPr>
        <w:t xml:space="preserve">1. Общие положения </w:t>
      </w:r>
      <w:r>
        <w:rPr>
          <w:b/>
          <w:sz w:val="28"/>
          <w:szCs w:val="28"/>
        </w:rPr>
      </w:r>
      <w:r/>
    </w:p>
    <w:p>
      <w:pPr>
        <w:pStyle w:val="816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Стандарт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деятельности (СОД) «Подготовка годового отчета о деятельности Контрольно-счетной комиссии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 района»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Стандарт)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разработан в целях реализации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 Контрольно-счетной комиссии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 района, утвержденного решением  Муниципального совета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24.11.</w:t>
      </w:r>
      <w:r>
        <w:rPr>
          <w:sz w:val="28"/>
          <w:szCs w:val="28"/>
        </w:rPr>
        <w:t xml:space="preserve">2021</w:t>
      </w:r>
      <w:r>
        <w:rPr>
          <w:sz w:val="28"/>
          <w:szCs w:val="28"/>
        </w:rPr>
        <w:t xml:space="preserve"> года №42/315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Регламентом Контрольно-счетной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Ровеньского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 и </w:t>
      </w:r>
      <w:r>
        <w:rPr>
          <w:sz w:val="28"/>
          <w:szCs w:val="28"/>
          <w:highlight w:val="white"/>
        </w:rPr>
        <w:t xml:space="preserve">с учетом </w:t>
      </w:r>
      <w:r>
        <w:rPr>
          <w:sz w:val="28"/>
          <w:szCs w:val="28"/>
          <w:highlight w:val="yellow"/>
        </w:rPr>
      </w:r>
      <w:r>
        <w:rPr>
          <w:rFonts w:ascii="Tinos" w:hAnsi="Tinos" w:cs="Tinos" w:eastAsia="Tinos"/>
          <w:sz w:val="28"/>
          <w:szCs w:val="28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 </w:t>
      </w:r>
      <w:r>
        <w:rPr>
          <w:rFonts w:ascii="Tinos" w:hAnsi="Tinos" w:cs="Tinos" w:eastAsia="Tinos"/>
          <w:sz w:val="28"/>
        </w:rPr>
        <w:t xml:space="preserve"> муниципальных, </w:t>
      </w:r>
      <w:r>
        <w:rPr>
          <w:rFonts w:ascii="Tinos" w:hAnsi="Tinos" w:cs="Tinos" w:eastAsia="Tinos"/>
          <w:sz w:val="28"/>
        </w:rPr>
        <w:t xml:space="preserve">утвержденными  Коллег</w:t>
      </w:r>
      <w:r>
        <w:rPr>
          <w:rFonts w:ascii="Tinos" w:hAnsi="Tinos" w:cs="Tinos" w:eastAsia="Tinos"/>
          <w:sz w:val="28"/>
        </w:rPr>
        <w:t xml:space="preserve">ией  Счетной  палаты  Российской  Федерации  от 29.03.2022</w:t>
      </w:r>
      <w:r>
        <w:rPr>
          <w:rFonts w:ascii="Tinos" w:hAnsi="Tinos" w:cs="Tinos" w:eastAsia="Tinos"/>
          <w:sz w:val="28"/>
        </w:rPr>
        <w:t xml:space="preserve"> г.  №  2ПК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yellow"/>
        </w:rPr>
      </w:r>
      <w:r>
        <w:rPr>
          <w:highlight w:val="yellow"/>
        </w:rPr>
      </w:r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1.2. Стандарт определяет цели, задачи и принципы формирования годового отчета о деятельности Контрольно-счетной комиссии </w:t>
      </w:r>
      <w:r>
        <w:rPr>
          <w:sz w:val="28"/>
          <w:szCs w:val="28"/>
          <w:highlight w:val="white"/>
        </w:rPr>
        <w:t xml:space="preserve">Ровеньского</w:t>
      </w:r>
      <w:r>
        <w:rPr>
          <w:sz w:val="28"/>
          <w:szCs w:val="28"/>
          <w:highlight w:val="white"/>
        </w:rPr>
        <w:t xml:space="preserve"> района (далее – годовой отчет), а также порядок и правила его подготовки и утверждения.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pStyle w:val="816"/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2. Цели, задачи и принципы формирования годового отчета</w:t>
      </w:r>
      <w:r>
        <w:rPr>
          <w:b/>
          <w:bCs/>
          <w:sz w:val="28"/>
          <w:szCs w:val="28"/>
          <w:highlight w:val="white"/>
        </w:rPr>
      </w:r>
      <w:r/>
    </w:p>
    <w:p>
      <w:pPr>
        <w:pStyle w:val="816"/>
        <w:jc w:val="center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  <w:highlight w:val="white"/>
        </w:rPr>
        <w:t xml:space="preserve">2.1.Целью формирования годового отчета является обобщение и систематизация результатов деятельности Контрольно-счетной комиссии </w:t>
      </w:r>
      <w:r>
        <w:rPr>
          <w:sz w:val="28"/>
          <w:szCs w:val="28"/>
          <w:highlight w:val="white"/>
        </w:rPr>
        <w:t xml:space="preserve">Ровеньского</w:t>
      </w:r>
      <w:r>
        <w:rPr>
          <w:sz w:val="28"/>
          <w:szCs w:val="28"/>
          <w:highlight w:val="white"/>
        </w:rPr>
        <w:t xml:space="preserve"> района (далее – КСК) по проведению внешнего муниципального финансового контроля за отчетный период. </w:t>
      </w:r>
      <w:r>
        <w:rPr>
          <w:sz w:val="28"/>
          <w:szCs w:val="28"/>
          <w:highlight w:val="yellow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Годовой отчет формируется нарастающим итогом с начала календарного года.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2.2.Формирование годового отчета предполагает постановку и решение следующих задач: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  <w:highlight w:val="white"/>
        </w:rPr>
        <w:t xml:space="preserve">- обобщение и анализ проведенных контрольных и экспертно-аналитических мероприятий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анализ мер, принимаемых по результатам контрольных и экспертно-аналитических мероприятий;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- информирование общественности о деятельности КСК.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 2.3. Формирование годового отчета основывается на принципах законности, объективности, полноты, независимости и гласности.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pStyle w:val="816"/>
        <w:jc w:val="center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3. Структура годового отчета</w:t>
      </w:r>
      <w:r>
        <w:rPr>
          <w:b/>
          <w:bCs/>
          <w:sz w:val="28"/>
          <w:szCs w:val="28"/>
          <w:highlight w:val="white"/>
        </w:rPr>
      </w:r>
      <w:r/>
    </w:p>
    <w:p>
      <w:pPr>
        <w:pStyle w:val="816"/>
        <w:jc w:val="center"/>
        <w:rPr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pStyle w:val="816"/>
        <w:jc w:val="both"/>
      </w:pPr>
      <w:r>
        <w:rPr>
          <w:sz w:val="28"/>
          <w:szCs w:val="28"/>
          <w:highlight w:val="white"/>
        </w:rPr>
        <w:t xml:space="preserve"> Структура годового отчета включает следующие разделы  и подразделы: 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1.Вводное положение.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2.Контрольная деятельность.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2.1.Характеристика контрольных мероприятий.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2.2.Основные оценки по результатам контроля.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2.3.Меры, принятые по устранению нарушений, выявленных КСК.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3.Экспертно-аналитическая деятельность.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3.1.Характеристика экспертно-аналитических мероприятий.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3.2.Экспертиза проектов нормативных актов.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4.Взаимодействие КСК с государственными и муниципальными органами.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5.Информирование о деятельности КСК.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6.Обеспечение деятельности КСК.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7.Заключительное положение.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В качестве приложений к годовому отчету могут приводится необходимые количественные и фактографические данные, в том числе: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-основные показатели деятельности КСК в отчетном году;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-структура финансовых нарушений, выявленных КСК в отчетном году;</w:t>
      </w:r>
      <w:r>
        <w:rPr>
          <w:sz w:val="28"/>
          <w:szCs w:val="28"/>
        </w:rPr>
      </w:r>
      <w:r/>
    </w:p>
    <w:p>
      <w:pPr>
        <w:pStyle w:val="816"/>
        <w:jc w:val="both"/>
      </w:pPr>
      <w:r>
        <w:rPr>
          <w:sz w:val="28"/>
          <w:szCs w:val="28"/>
        </w:rPr>
        <w:t xml:space="preserve">-количественные данные о выполнении представлений и предписаний в отчетном году.</w:t>
      </w:r>
      <w:r>
        <w:rPr>
          <w:sz w:val="28"/>
          <w:szCs w:val="28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</w:rPr>
        <w:t xml:space="preserve">Обьем годового отчета о работе  КСК  не ограничен.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                              4. Порядок формирования годового отчета </w:t>
      </w:r>
      <w:r>
        <w:rPr>
          <w:b/>
          <w:bCs/>
          <w:sz w:val="28"/>
          <w:szCs w:val="28"/>
          <w:highlight w:val="white"/>
        </w:rPr>
      </w:r>
      <w:r/>
    </w:p>
    <w:p>
      <w:pPr>
        <w:pStyle w:val="816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  <w:highlight w:val="white"/>
        </w:rPr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6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Подготовка отчета</w:t>
      </w:r>
      <w:r>
        <w:rPr>
          <w:rFonts w:ascii="Tinos" w:hAnsi="Tinos" w:cs="Tinos" w:eastAsia="Tinos"/>
          <w:sz w:val="28"/>
        </w:rPr>
        <w:t xml:space="preserve"> организуется председателем КСК.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6"/>
        <w:jc w:val="both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</w:rPr>
        <w:t xml:space="preserve">По поручению председателя КСК инспектор подготавливает соответствующую отчетность и информацию, необходимую для составления годового отчета.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816"/>
        <w:jc w:val="both"/>
        <w:rPr>
          <w:rFonts w:ascii="Tinos" w:hAnsi="Tinos" w:cs="Tinos" w:eastAsia="Tinos"/>
          <w:highlight w:val="white"/>
        </w:rPr>
      </w:pPr>
      <w:r>
        <w:rPr>
          <w:rFonts w:ascii="Tinos" w:hAnsi="Tinos" w:cs="Tinos" w:eastAsia="Tinos"/>
          <w:sz w:val="28"/>
        </w:rPr>
        <w:t xml:space="preserve">Отчет о деятельности КСК составляется до 1 марта , следующего за отчетным.</w:t>
      </w:r>
      <w:r>
        <w:rPr>
          <w:rFonts w:ascii="Tinos" w:hAnsi="Tinos" w:cs="Tinos" w:eastAsia="Tinos"/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  <w:highlight w:val="white"/>
        </w:rPr>
        <w:t xml:space="preserve">Отчетным периодом, за который составляется годовой отчет, является период с  01  января  по  31 декабря отчетного года. </w:t>
      </w:r>
      <w:r>
        <w:rPr>
          <w:sz w:val="28"/>
          <w:szCs w:val="28"/>
          <w:highlight w:val="yellow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  <w:highlight w:val="white"/>
        </w:rPr>
        <w:t xml:space="preserve">Годовой отчет формируется с учетом мер, принятых по результатам контрольных и экспертно-аналитических мероприятий, переходящих с отчетного периода. </w:t>
      </w:r>
      <w:r>
        <w:rPr>
          <w:sz w:val="28"/>
          <w:szCs w:val="28"/>
          <w:highlight w:val="yellow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  <w:highlight w:val="white"/>
        </w:rPr>
        <w:t xml:space="preserve">Учет количества проведенных контрольных и экспертно-аналитических мероприятий осуществляется по количеству утвержденных отчетов по их результатам.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Контрольные и экспертно-аналитические мероприятия учитываются раздельно.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rFonts w:ascii="Tinos" w:hAnsi="Tinos" w:cs="Tinos" w:eastAsia="Tinos"/>
          <w:sz w:val="28"/>
        </w:rPr>
      </w:pPr>
      <w:r>
        <w:rPr>
          <w:rFonts w:ascii="Tinos" w:hAnsi="Tinos" w:cs="Tinos" w:eastAsia="Tinos"/>
          <w:sz w:val="28"/>
          <w:highlight w:val="white"/>
        </w:rPr>
      </w:r>
      <w:r>
        <w:rPr>
          <w:rFonts w:ascii="Tinos" w:hAnsi="Tinos" w:cs="Tinos" w:eastAsia="Tinos"/>
          <w:sz w:val="28"/>
        </w:rPr>
        <w:t xml:space="preserve">При определении  количества проверяемых обьектов обьекты учитываются столько раз, сколько раз они являлись обьектами контрольных и (или) экспертно-аналитических мероприятий, завершенных в отчетном году.</w:t>
      </w:r>
      <w:r>
        <w:rPr>
          <w:rFonts w:ascii="Tinos" w:hAnsi="Tinos" w:cs="Tinos" w:eastAsia="Tinos"/>
          <w:sz w:val="28"/>
          <w:highlight w:val="white"/>
        </w:rPr>
      </w:r>
      <w:r/>
    </w:p>
    <w:p>
      <w:pPr>
        <w:pStyle w:val="816"/>
        <w:jc w:val="both"/>
        <w:rPr>
          <w:rFonts w:ascii="Tinos" w:hAnsi="Tinos" w:cs="Tinos" w:eastAsia="Tinos"/>
          <w:sz w:val="28"/>
          <w:highlight w:val="white"/>
        </w:rPr>
      </w:pPr>
      <w:r>
        <w:rPr>
          <w:rFonts w:ascii="Tinos" w:hAnsi="Tinos" w:cs="Tinos" w:eastAsia="Tinos"/>
          <w:sz w:val="28"/>
        </w:rPr>
        <w:t xml:space="preserve">Суммы выявленных и возмещенных финансовых нарушений указываются в тысячах рублей с точностью до первого десятичного знака.</w:t>
      </w:r>
      <w:r>
        <w:rPr>
          <w:rFonts w:ascii="Tinos" w:hAnsi="Tinos" w:cs="Tinos" w:eastAsia="Tinos"/>
          <w:sz w:val="28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Документы и материалы к формированию годового отчета представляются на бумажном носителе и в электронном виде.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</w:r>
      <w:r/>
    </w:p>
    <w:p>
      <w:pPr>
        <w:pStyle w:val="816"/>
        <w:rPr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                                  5. Порядок утверждения годового отчета </w:t>
      </w:r>
      <w:r>
        <w:rPr>
          <w:b/>
          <w:bCs/>
          <w:sz w:val="28"/>
          <w:szCs w:val="28"/>
          <w:highlight w:val="white"/>
        </w:rPr>
      </w:r>
      <w:r/>
    </w:p>
    <w:p>
      <w:pPr>
        <w:pStyle w:val="816"/>
        <w:rPr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Сформированный годовой отчет утверждается распоряжением председателя КСК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направляется на рассмотрение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в Муниципальный совет </w:t>
      </w:r>
      <w:r>
        <w:rPr>
          <w:sz w:val="28"/>
          <w:szCs w:val="28"/>
          <w:highlight w:val="white"/>
        </w:rPr>
        <w:t xml:space="preserve">Ровеньского</w:t>
      </w:r>
      <w:r>
        <w:rPr>
          <w:sz w:val="28"/>
          <w:szCs w:val="28"/>
          <w:highlight w:val="white"/>
        </w:rPr>
        <w:t xml:space="preserve"> района.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  <w:t xml:space="preserve">Представление отчета в Муниципальный совет </w:t>
      </w:r>
      <w:r>
        <w:rPr>
          <w:sz w:val="28"/>
          <w:szCs w:val="28"/>
          <w:highlight w:val="white"/>
        </w:rPr>
        <w:t xml:space="preserve">Ровеньского</w:t>
      </w:r>
      <w:r>
        <w:rPr>
          <w:sz w:val="28"/>
          <w:szCs w:val="28"/>
          <w:highlight w:val="white"/>
        </w:rPr>
        <w:t xml:space="preserve"> района осуществляется председателем КСК. 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После рассмотрения Муниципальным советом </w:t>
      </w:r>
      <w:r>
        <w:rPr>
          <w:sz w:val="28"/>
          <w:szCs w:val="28"/>
          <w:highlight w:val="white"/>
        </w:rPr>
        <w:t xml:space="preserve">Ровеньского</w:t>
      </w:r>
      <w:r>
        <w:rPr>
          <w:sz w:val="28"/>
          <w:szCs w:val="28"/>
          <w:highlight w:val="white"/>
        </w:rPr>
        <w:t xml:space="preserve"> района </w:t>
      </w:r>
      <w:r>
        <w:rPr>
          <w:sz w:val="28"/>
          <w:szCs w:val="28"/>
          <w:highlight w:val="white"/>
        </w:rPr>
        <w:t xml:space="preserve">годовой отчет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размещается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сети Интернет.</w:t>
      </w:r>
      <w:r>
        <w:rPr>
          <w:sz w:val="28"/>
          <w:szCs w:val="28"/>
          <w:highlight w:val="white"/>
        </w:rPr>
      </w:r>
      <w:r/>
    </w:p>
    <w:p>
      <w:pPr>
        <w:pStyle w:val="816"/>
        <w:jc w:val="both"/>
        <w:rPr>
          <w:highlight w:val="yellow"/>
        </w:rPr>
      </w:pPr>
      <w:r>
        <w:rPr>
          <w:sz w:val="28"/>
          <w:szCs w:val="28"/>
        </w:rPr>
      </w:r>
      <w:r>
        <w:rPr>
          <w:sz w:val="28"/>
          <w:szCs w:val="28"/>
          <w:highlight w:val="yellow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endnote text"/>
    <w:basedOn w:val="810"/>
    <w:link w:val="635"/>
    <w:uiPriority w:val="99"/>
    <w:semiHidden/>
    <w:unhideWhenUsed/>
    <w:rPr>
      <w:sz w:val="20"/>
    </w:rPr>
    <w:pPr>
      <w:spacing w:lineRule="auto" w:line="240" w:after="0"/>
    </w:pPr>
  </w:style>
  <w:style w:type="character" w:styleId="635">
    <w:name w:val="Endnote Text Char"/>
    <w:link w:val="634"/>
    <w:uiPriority w:val="99"/>
    <w:rPr>
      <w:sz w:val="20"/>
    </w:rPr>
  </w:style>
  <w:style w:type="character" w:styleId="636">
    <w:name w:val="endnote reference"/>
    <w:basedOn w:val="815"/>
    <w:uiPriority w:val="99"/>
    <w:semiHidden/>
    <w:unhideWhenUsed/>
    <w:rPr>
      <w:vertAlign w:val="superscript"/>
    </w:rPr>
  </w:style>
  <w:style w:type="paragraph" w:styleId="637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638">
    <w:name w:val="Heading 1"/>
    <w:basedOn w:val="810"/>
    <w:next w:val="810"/>
    <w:link w:val="63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9">
    <w:name w:val="Heading 1 Char"/>
    <w:link w:val="638"/>
    <w:uiPriority w:val="9"/>
    <w:rPr>
      <w:rFonts w:ascii="Arial" w:hAnsi="Arial" w:cs="Arial" w:eastAsia="Arial"/>
      <w:sz w:val="40"/>
      <w:szCs w:val="40"/>
    </w:rPr>
  </w:style>
  <w:style w:type="paragraph" w:styleId="640">
    <w:name w:val="Heading 2"/>
    <w:basedOn w:val="810"/>
    <w:next w:val="810"/>
    <w:link w:val="64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1">
    <w:name w:val="Heading 2 Char"/>
    <w:link w:val="640"/>
    <w:uiPriority w:val="9"/>
    <w:rPr>
      <w:rFonts w:ascii="Arial" w:hAnsi="Arial" w:cs="Arial" w:eastAsia="Arial"/>
      <w:sz w:val="34"/>
    </w:rPr>
  </w:style>
  <w:style w:type="paragraph" w:styleId="642">
    <w:name w:val="Heading 3"/>
    <w:basedOn w:val="810"/>
    <w:next w:val="810"/>
    <w:link w:val="64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3">
    <w:name w:val="Heading 3 Char"/>
    <w:link w:val="642"/>
    <w:uiPriority w:val="9"/>
    <w:rPr>
      <w:rFonts w:ascii="Arial" w:hAnsi="Arial" w:cs="Arial" w:eastAsia="Arial"/>
      <w:sz w:val="30"/>
      <w:szCs w:val="30"/>
    </w:rPr>
  </w:style>
  <w:style w:type="paragraph" w:styleId="644">
    <w:name w:val="Heading 4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5">
    <w:name w:val="Heading 4 Char"/>
    <w:link w:val="644"/>
    <w:uiPriority w:val="9"/>
    <w:rPr>
      <w:rFonts w:ascii="Arial" w:hAnsi="Arial" w:cs="Arial" w:eastAsia="Arial"/>
      <w:b/>
      <w:bCs/>
      <w:sz w:val="26"/>
      <w:szCs w:val="26"/>
    </w:rPr>
  </w:style>
  <w:style w:type="paragraph" w:styleId="646">
    <w:name w:val="Heading 5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7">
    <w:name w:val="Heading 5 Char"/>
    <w:link w:val="646"/>
    <w:uiPriority w:val="9"/>
    <w:rPr>
      <w:rFonts w:ascii="Arial" w:hAnsi="Arial" w:cs="Arial" w:eastAsia="Arial"/>
      <w:b/>
      <w:bCs/>
      <w:sz w:val="24"/>
      <w:szCs w:val="24"/>
    </w:rPr>
  </w:style>
  <w:style w:type="paragraph" w:styleId="648">
    <w:name w:val="Heading 6"/>
    <w:basedOn w:val="810"/>
    <w:next w:val="810"/>
    <w:link w:val="64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9">
    <w:name w:val="Heading 6 Char"/>
    <w:link w:val="648"/>
    <w:uiPriority w:val="9"/>
    <w:rPr>
      <w:rFonts w:ascii="Arial" w:hAnsi="Arial" w:cs="Arial" w:eastAsia="Arial"/>
      <w:b/>
      <w:bCs/>
      <w:sz w:val="22"/>
      <w:szCs w:val="22"/>
    </w:rPr>
  </w:style>
  <w:style w:type="paragraph" w:styleId="650">
    <w:name w:val="Heading 7"/>
    <w:basedOn w:val="810"/>
    <w:next w:val="810"/>
    <w:link w:val="65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1">
    <w:name w:val="Heading 7 Char"/>
    <w:link w:val="65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2">
    <w:name w:val="Heading 8"/>
    <w:basedOn w:val="810"/>
    <w:next w:val="810"/>
    <w:link w:val="65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3">
    <w:name w:val="Heading 8 Char"/>
    <w:link w:val="652"/>
    <w:uiPriority w:val="9"/>
    <w:rPr>
      <w:rFonts w:ascii="Arial" w:hAnsi="Arial" w:cs="Arial" w:eastAsia="Arial"/>
      <w:i/>
      <w:iCs/>
      <w:sz w:val="22"/>
      <w:szCs w:val="22"/>
    </w:rPr>
  </w:style>
  <w:style w:type="paragraph" w:styleId="654">
    <w:name w:val="Heading 9"/>
    <w:basedOn w:val="810"/>
    <w:next w:val="810"/>
    <w:link w:val="65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5">
    <w:name w:val="Heading 9 Char"/>
    <w:link w:val="654"/>
    <w:uiPriority w:val="9"/>
    <w:rPr>
      <w:rFonts w:ascii="Arial" w:hAnsi="Arial" w:cs="Arial" w:eastAsia="Arial"/>
      <w:i/>
      <w:iCs/>
      <w:sz w:val="21"/>
      <w:szCs w:val="21"/>
    </w:rPr>
  </w:style>
  <w:style w:type="paragraph" w:styleId="656">
    <w:name w:val="Title"/>
    <w:basedOn w:val="810"/>
    <w:next w:val="810"/>
    <w:link w:val="65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0"/>
    <w:next w:val="810"/>
    <w:link w:val="659"/>
    <w:qFormat/>
    <w:uiPriority w:val="11"/>
    <w:rPr>
      <w:sz w:val="24"/>
      <w:szCs w:val="24"/>
    </w:rPr>
    <w:pPr>
      <w:spacing w:after="200" w:before="200"/>
    </w:p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0"/>
    <w:next w:val="810"/>
    <w:link w:val="661"/>
    <w:qFormat/>
    <w:uiPriority w:val="29"/>
    <w:rPr>
      <w:i/>
    </w:rPr>
    <w:pPr>
      <w:ind w:left="720" w:right="720"/>
    </w:p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0"/>
    <w:next w:val="810"/>
    <w:link w:val="663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0"/>
    <w:link w:val="66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7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9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0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1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2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3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4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5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06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09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11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auto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auto"/>
        <w:tcBorders>
          <w:top w:val="single" w:color="000000" w:sz="4" w:space="0" w:themeColor="light1"/>
        </w:tcBorders>
      </w:tcPr>
    </w:tblStylePr>
  </w:style>
  <w:style w:type="table" w:styleId="712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auto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auto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auto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auto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4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5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6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7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8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9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0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auto"/>
    </w:tblPr>
    <w:tblStylePr w:type="band1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auto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auto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auto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2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3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4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5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6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7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8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76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77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78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79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0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1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2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3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4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5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6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7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8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auto"/>
      </w:tcPr>
    </w:tblStylePr>
  </w:style>
  <w:style w:type="table" w:styleId="789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0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1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2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3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4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5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0"/>
    <w:link w:val="798"/>
    <w:uiPriority w:val="99"/>
    <w:semiHidden/>
    <w:unhideWhenUsed/>
    <w:rPr>
      <w:sz w:val="18"/>
    </w:rPr>
    <w:pPr>
      <w:spacing w:lineRule="auto" w:line="240" w:after="40"/>
    </w:p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Default"/>
    <w:rPr>
      <w:rFonts w:ascii="Times New Roman" w:hAnsi="Times New Roman" w:cs="Times New Roman" w:eastAsia="Calibri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auto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2023-01-13T11:03:08Z</dcterms:modified>
</cp:coreProperties>
</file>