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numPr>
          <w:ilvl w:val="0"/>
          <w:numId w:val="0"/>
        </w:numPr>
        <w:ind w:left="0" w:right="0" w:firstLine="0"/>
        <w:jc w:val="center"/>
      </w:pPr>
      <w:r>
        <w:t xml:space="preserve">                                                                                                                  </w:t>
      </w:r>
      <w:r/>
    </w:p>
    <w:p>
      <w:pPr>
        <w:pStyle w:val="830"/>
        <w:numPr>
          <w:ilvl w:val="0"/>
          <w:numId w:val="0"/>
        </w:numPr>
        <w:ind w:left="0" w:right="0" w:firstLine="0"/>
        <w:jc w:val="center"/>
        <w:spacing w:before="0" w:after="0" w:line="240" w:lineRule="auto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center"/>
        <w:spacing w:before="0" w:after="0" w:line="240" w:lineRule="auto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9755" cy="783590"/>
                <wp:effectExtent l="0" t="0" r="0" b="0"/>
                <wp:docPr id="1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79755" cy="783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.6pt;height:61.7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pStyle w:val="830"/>
        <w:numPr>
          <w:ilvl w:val="0"/>
          <w:numId w:val="0"/>
        </w:numPr>
        <w:ind w:left="0" w:right="0" w:firstLine="0"/>
        <w:jc w:val="center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center"/>
      </w:pPr>
      <w:r>
        <w:rPr>
          <w:color w:val="000000"/>
          <w:sz w:val="28"/>
        </w:rPr>
        <w:t xml:space="preserve">АДМИНИСТРАЦИЯ  РОВЕНЬСКОГО РАЙОНА</w:t>
      </w:r>
      <w:r/>
    </w:p>
    <w:p>
      <w:pPr>
        <w:pStyle w:val="830"/>
        <w:numPr>
          <w:ilvl w:val="0"/>
          <w:numId w:val="0"/>
        </w:numPr>
        <w:ind w:left="0" w:right="0" w:firstLine="0"/>
        <w:jc w:val="center"/>
      </w:pPr>
      <w:r>
        <w:rPr>
          <w:color w:val="000000"/>
          <w:sz w:val="28"/>
        </w:rPr>
        <w:t xml:space="preserve">БЕЛГОРОДСКОЙ ОБЛАСТИ </w:t>
      </w:r>
      <w:r/>
    </w:p>
    <w:p>
      <w:pPr>
        <w:pStyle w:val="830"/>
        <w:numPr>
          <w:ilvl w:val="0"/>
          <w:numId w:val="0"/>
        </w:numPr>
        <w:ind w:left="0" w:right="0" w:firstLine="0"/>
        <w:jc w:val="center"/>
      </w:pP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Ровеньки</w:t>
      </w:r>
      <w:r/>
    </w:p>
    <w:p>
      <w:pPr>
        <w:pStyle w:val="830"/>
        <w:numPr>
          <w:ilvl w:val="0"/>
          <w:numId w:val="0"/>
        </w:numPr>
        <w:ind w:left="0" w:right="0" w:firstLine="0"/>
        <w:jc w:val="center"/>
      </w:pPr>
      <w:r>
        <w:t xml:space="preserve">проект</w:t>
      </w:r>
      <w:r/>
    </w:p>
    <w:p>
      <w:pPr>
        <w:pStyle w:val="830"/>
        <w:numPr>
          <w:ilvl w:val="0"/>
          <w:numId w:val="0"/>
        </w:numPr>
        <w:ind w:left="0" w:right="0" w:firstLine="0"/>
        <w:jc w:val="center"/>
        <w:spacing w:before="0" w:after="0"/>
      </w:pPr>
      <w:r>
        <w:rPr>
          <w:b/>
          <w:color w:val="000000"/>
          <w:spacing w:val="19"/>
          <w:sz w:val="28"/>
        </w:rPr>
        <w:t xml:space="preserve">ПОСТАНОВЛЕНИЕ  </w:t>
      </w:r>
      <w:r/>
    </w:p>
    <w:p>
      <w:pPr>
        <w:pStyle w:val="830"/>
        <w:numPr>
          <w:ilvl w:val="0"/>
          <w:numId w:val="0"/>
        </w:numPr>
        <w:ind w:left="0" w:right="0" w:firstLine="0"/>
        <w:jc w:val="center"/>
        <w:spacing w:before="0" w:after="0" w:line="240" w:lineRule="auto"/>
      </w:pPr>
      <w:r/>
      <w:r/>
    </w:p>
    <w:p>
      <w:pPr>
        <w:pStyle w:val="831"/>
        <w:numPr>
          <w:ilvl w:val="0"/>
          <w:numId w:val="0"/>
        </w:numPr>
        <w:ind w:left="0" w:right="0" w:firstLine="0"/>
        <w:jc w:val="left"/>
      </w:pPr>
      <w:r>
        <w:rPr>
          <w:sz w:val="28"/>
        </w:rPr>
        <w:t xml:space="preserve">«____» _____________20</w:t>
      </w:r>
      <w:r>
        <w:rPr>
          <w:rFonts w:cs="Times New Roman"/>
          <w:color w:val="000000"/>
          <w:sz w:val="28"/>
        </w:rPr>
        <w:t xml:space="preserve">23</w:t>
      </w:r>
      <w:r>
        <w:rPr>
          <w:sz w:val="28"/>
        </w:rPr>
        <w:t xml:space="preserve">  г.                                                            № _____</w:t>
      </w:r>
      <w:r/>
    </w:p>
    <w:p>
      <w:pPr>
        <w:pStyle w:val="870"/>
        <w:numPr>
          <w:ilvl w:val="0"/>
          <w:numId w:val="0"/>
        </w:numPr>
        <w:ind w:left="0" w:right="0" w:firstLine="0"/>
        <w:jc w:val="center"/>
      </w:pPr>
      <w:r>
        <w:rPr>
          <w:rFonts w:ascii="Times New Roman" w:hAnsi="Times New Roman" w:cs="Times New Roman"/>
          <w:b/>
          <w:color w:val="000000"/>
          <w:sz w:val="28"/>
        </w:rPr>
        <w:t xml:space="preserve">О внесении изменений в постановление администрации Ровеньского района от 28 февраля 2022 г. №84</w:t>
      </w:r>
      <w:r/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rFonts w:cs="Times New Roman"/>
          <w:b/>
          <w:bCs/>
          <w:color w:val="000000"/>
          <w:sz w:val="28"/>
          <w:szCs w:val="28"/>
          <w:highlight w:val="none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</w:t>
      </w:r>
      <w:r>
        <w:rPr>
          <w:rFonts w:cs="Times New Roman"/>
          <w:color w:val="000000"/>
          <w:sz w:val="28"/>
        </w:rPr>
        <w:t xml:space="preserve">целях создания условий для развития конкуренции в Белгородской области, в соответствии с Национальным планом («дорожной картой»)  развития конкуренции в Российской Федерации на 2021-2025 годы</w:t>
      </w:r>
      <w:r>
        <w:rPr>
          <w:rFonts w:cs="Times New Roman"/>
          <w:color w:val="000000"/>
          <w:sz w:val="28"/>
        </w:rPr>
        <w:t xml:space="preserve">, утвержденным распоряжением Правительства Российской Федерации от 2 сентября 2021 года №2424-р, стандартом развития конкуренции в субъектах Российской Федерации, утвержденным распоряжением Правительства Российской Федерации от 17 апреля 2019 года №768-р, </w:t>
      </w:r>
      <w:r>
        <w:rPr>
          <w:color w:val="000000"/>
          <w:sz w:val="28"/>
        </w:rPr>
        <w:t xml:space="preserve"> постановлением </w:t>
      </w:r>
      <w:r>
        <w:rPr>
          <w:rFonts w:cs="Times New Roman"/>
          <w:color w:val="000000"/>
          <w:sz w:val="28"/>
        </w:rPr>
        <w:t xml:space="preserve">Губернатора Белгородской области  от 19 сентября 2023 г. № 136  «О внесении изменений в постановление Губернатора Белгородской области от 30 декабря 2021 года №180» администрация Ровеньского района  </w:t>
      </w:r>
      <w:r>
        <w:rPr>
          <w:rFonts w:cs="Times New Roman"/>
          <w:b/>
          <w:color w:val="000000"/>
          <w:sz w:val="28"/>
        </w:rPr>
        <w:t xml:space="preserve">п о с т а н о в л я е т:</w:t>
      </w:r>
      <w:r/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rFonts w:cs="Times New Roman"/>
          <w:color w:val="000000"/>
          <w:sz w:val="28"/>
          <w:szCs w:val="28"/>
          <w:highlight w:val="none"/>
          <w14:ligatures w14:val="none"/>
        </w:rPr>
      </w:pPr>
      <w:r>
        <w:rPr>
          <w:rFonts w:cs="Times New Roman"/>
          <w:color w:val="000000"/>
          <w:sz w:val="28"/>
          <w:szCs w:val="28"/>
        </w:rPr>
        <w:t xml:space="preserve">1.Внести следующие изменения в постановление администрации Ровеньского район</w:t>
      </w:r>
      <w:r>
        <w:rPr>
          <w:rFonts w:cs="Times New Roman"/>
          <w:color w:val="000000"/>
          <w:sz w:val="28"/>
          <w:szCs w:val="28"/>
        </w:rPr>
        <w:t xml:space="preserve">а </w:t>
      </w:r>
      <w:r>
        <w:rPr>
          <w:rFonts w:cs="Times New Roman"/>
          <w:color w:val="000000"/>
          <w:sz w:val="28"/>
          <w:szCs w:val="28"/>
        </w:rPr>
        <w:t xml:space="preserve">№84 от 28.02.2022г. «Об утверждении перечня товарных рынков и плана мероприятий по содействию развитию конкуренции на территории Ровеньского района  на 2022-2025 годы</w:t>
      </w:r>
      <w:r>
        <w:rPr>
          <w:rFonts w:cs="Times New Roman"/>
          <w:color w:val="000000"/>
          <w:sz w:val="28"/>
          <w:szCs w:val="28"/>
        </w:rPr>
        <w:t xml:space="preserve">»:</w:t>
      </w:r>
      <w:r>
        <w:rPr>
          <w:rFonts w:cs="Times New Roman"/>
          <w:color w:val="000000"/>
          <w:sz w:val="28"/>
          <w:szCs w:val="28"/>
          <w:highlight w:val="none"/>
          <w14:ligatures w14:val="none"/>
        </w:rPr>
      </w:r>
      <w:r/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rFonts w:cs="Times New Roman"/>
          <w:color w:val="000000"/>
          <w:sz w:val="28"/>
          <w:szCs w:val="28"/>
          <w:highlight w:val="none"/>
          <w14:ligatures w14:val="none"/>
        </w:rPr>
      </w:pPr>
      <w:r>
        <w:rPr>
          <w:rFonts w:cs="Times New Roman"/>
          <w:color w:val="000000"/>
          <w:sz w:val="28"/>
          <w:szCs w:val="28"/>
          <w:highlight w:val="none"/>
        </w:rPr>
        <w:t xml:space="preserve">-подраздел 1.4 подраздела 1 раздела II «Мероприятия по содействию развитию конкуренции на товарных рынках на территории Ровеньского района»  плана мероприятий </w:t>
      </w:r>
      <w:r>
        <w:rPr>
          <w:rFonts w:cs="Times New Roman"/>
          <w:color w:val="000000"/>
          <w:sz w:val="28"/>
          <w:szCs w:val="28"/>
        </w:rPr>
        <w:t xml:space="preserve">по содействию развитию конкуренции на территории Ровеньского района  на 2022-2025 годы</w:t>
      </w:r>
      <w:r>
        <w:rPr>
          <w:rFonts w:cs="Times New Roman"/>
          <w:color w:val="000000"/>
          <w:sz w:val="28"/>
          <w:szCs w:val="28"/>
          <w:highlight w:val="none"/>
        </w:rPr>
        <w:t xml:space="preserve"> изложить в следующей редакции:</w:t>
      </w:r>
      <w:r>
        <w:rPr>
          <w:rFonts w:cs="Times New Roman"/>
          <w:color w:val="000000"/>
          <w:sz w:val="28"/>
          <w:szCs w:val="28"/>
          <w:highlight w:val="none"/>
        </w:rPr>
      </w:r>
      <w:r/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rFonts w:cs="Times New Roman"/>
          <w:color w:val="000000"/>
          <w:sz w:val="28"/>
          <w:szCs w:val="28"/>
          <w:highlight w:val="none"/>
          <w14:ligatures w14:val="none"/>
        </w:rPr>
      </w:pPr>
      <w:r>
        <w:rPr>
          <w:rFonts w:cs="Times New Roman"/>
          <w:color w:val="000000"/>
          <w:sz w:val="28"/>
          <w:szCs w:val="28"/>
          <w:highlight w:val="none"/>
        </w:rPr>
      </w:r>
      <w:r>
        <w:rPr>
          <w:rFonts w:cs="Times New Roman"/>
          <w:color w:val="000000"/>
          <w:sz w:val="28"/>
          <w:szCs w:val="28"/>
          <w:highlight w:val="none"/>
        </w:rPr>
      </w:r>
      <w:r/>
    </w:p>
    <w:p>
      <w:pPr>
        <w:pStyle w:val="868"/>
        <w:numPr>
          <w:ilvl w:val="0"/>
          <w:numId w:val="0"/>
        </w:numPr>
        <w:ind w:left="0" w:right="0" w:firstLine="510"/>
        <w:jc w:val="center"/>
        <w:spacing w:before="0" w:after="0"/>
        <w:rPr>
          <w:b/>
          <w:bCs/>
          <w:highlight w:val="none"/>
        </w:rPr>
      </w:pPr>
      <w:r>
        <w:rPr>
          <w:b/>
          <w:bCs/>
        </w:rPr>
        <w:t xml:space="preserve">«1.4. Ры</w:t>
      </w:r>
      <w:r>
        <w:rPr>
          <w:b/>
          <w:bCs/>
        </w:rPr>
        <w:t xml:space="preserve">нок услуг дополнительного образования</w:t>
      </w:r>
      <w:r>
        <w:rPr>
          <w:b/>
          <w:bCs/>
        </w:rPr>
      </w:r>
      <w:r/>
    </w:p>
    <w:p>
      <w:pPr>
        <w:pStyle w:val="868"/>
        <w:numPr>
          <w:ilvl w:val="0"/>
          <w:numId w:val="0"/>
        </w:numPr>
        <w:ind w:left="0" w:right="0" w:firstLine="0"/>
        <w:jc w:val="left"/>
        <w:spacing w:before="0" w:after="0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tbl>
      <w:tblPr>
        <w:tblStyle w:val="644"/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817"/>
        <w:gridCol w:w="3051"/>
        <w:gridCol w:w="1484"/>
        <w:gridCol w:w="2206"/>
        <w:gridCol w:w="1906"/>
      </w:tblGrid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№ 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п/п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Наименование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Срок 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реализации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 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Результат выполнения 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Ответственные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исполнители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1.4.1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Проведение мониторинга состояния и развития организаций частной формы собственности в сфере услуг дополнительного образования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Осуществление мониторинга деятельности организаций частной формы собственности в сфере услуг дополнительного образования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1.4.2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Оказание организационно-методической                                                   и информационно-консультационной помощи организациям частной формы собственности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Повышение качества услуг, предоставляемых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организациями частной формы собственности                                                  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1.4.3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Предоставление консультационной помощи                                 в регистрации и лицензировании организаций частной формы собственности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Увеличение количества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организаций частной формы собственности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1.4.4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Реализация системы персонифицированного финансирования дополнительного образования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Обеспечение равного доступа к участию в системе персонифицированного финансирования дополнительного образования детей образовательных организаций всех форм собственности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1.4.5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оздание и функционирование муниципальных консультационных пунктов для организаций частной формы собственности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Обеспечение нормативного правового, методического, организационного сопровождения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организаций частной формы собственности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1.4.6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Участие в проведении региона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льного конкурса дополнительных общеобразовательных программ среди организаций дополнительного образования детей всех форм собственности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Выявление лучшего опыта предоставления услуг дополнительного образования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организациями частной формы собственности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1.4.7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участия представителей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организаций частной формы собственности сферы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                                              в конференциях, семинарах, рабочих группах, общественных обсуждениях законодательных                            и нормативных правовых актов в сфере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Развитие государственно-частного партнерства в сфере дополнительного образования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1.4.8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051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Р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азмещение в средствах массовой информации, сети Интернет информации о деятельности организаций частной формы собственности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84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2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Р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азмещение в средствах массовой информации, сети Интернет информации о деятельности организаций частной формы собственности в сфере услуг дополнительного 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детей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Ровеньского района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tabs>
          <w:tab w:val="left" w:pos="5102" w:leader="none"/>
        </w:tabs>
        <w:rPr>
          <w:rFonts w:cs="Times New Roman"/>
          <w:color w:val="000000" w:themeColor="text1"/>
          <w:sz w:val="24"/>
          <w:szCs w:val="24"/>
          <w14:ligatures w14:val="none"/>
        </w:rPr>
      </w:pPr>
      <w:r>
        <w:rPr>
          <w:rFonts w:cs="Times New Roman"/>
          <w:color w:val="000000" w:themeColor="text1"/>
          <w:sz w:val="24"/>
          <w:szCs w:val="24"/>
        </w:rPr>
      </w:r>
      <w:r>
        <w:rPr>
          <w:rFonts w:cs="Times New Roman"/>
          <w:color w:val="000000" w:themeColor="text1"/>
          <w:sz w:val="24"/>
          <w:szCs w:val="24"/>
        </w:rPr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color w:val="000000" w:themeColor="text1"/>
          <w:highlight w:val="none"/>
        </w:rPr>
      </w:pPr>
      <w:r>
        <w:rPr>
          <w:color w:val="000000" w:themeColor="text1"/>
        </w:rPr>
        <w:t xml:space="preserve">-</w:t>
      </w:r>
      <w:r>
        <w:rPr>
          <w:rFonts w:cs="Times New Roman"/>
          <w:color w:val="000000" w:themeColor="text1"/>
          <w:sz w:val="28"/>
          <w:szCs w:val="28"/>
          <w:highlight w:val="none"/>
        </w:rPr>
        <w:t xml:space="preserve">подраздел 3.2 подраздела 3 раздела II «Мероприятия по содействию развитию конкуренции на товарных рынках на территории Ровеньского района»  плана мероприятий </w:t>
      </w:r>
      <w:r>
        <w:rPr>
          <w:rFonts w:cs="Times New Roman"/>
          <w:color w:val="000000" w:themeColor="text1"/>
          <w:sz w:val="28"/>
          <w:szCs w:val="28"/>
        </w:rPr>
        <w:t xml:space="preserve">по содействию развитию конкуренции на территории Ровеньского района  на 2022-2025 годы</w:t>
      </w:r>
      <w:r>
        <w:rPr>
          <w:rFonts w:cs="Times New Roman"/>
          <w:color w:val="000000" w:themeColor="text1"/>
          <w:sz w:val="28"/>
          <w:szCs w:val="28"/>
          <w:highlight w:val="none"/>
        </w:rPr>
        <w:t xml:space="preserve"> изложить в следующей редакции:</w:t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10"/>
        <w:jc w:val="center"/>
        <w:spacing w:before="0" w:after="0"/>
        <w:rPr>
          <w:rFonts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cs="Times New Roman"/>
          <w:b/>
          <w:bCs/>
          <w:color w:val="000000" w:themeColor="text1"/>
          <w:sz w:val="28"/>
          <w:szCs w:val="28"/>
          <w:highlight w:val="none"/>
        </w:rPr>
        <w:t xml:space="preserve">«3.2. </w:t>
      </w:r>
      <w:r>
        <w:rPr>
          <w:rFonts w:cs="Times New Roman"/>
          <w:b/>
          <w:bCs/>
          <w:color w:val="000000" w:themeColor="text1"/>
          <w:sz w:val="28"/>
          <w:szCs w:val="28"/>
          <w:highlight w:val="none"/>
        </w:rPr>
        <w:t xml:space="preserve">Рынок услуг по сбору и транспортированию твердых коммунальных отходов</w:t>
      </w:r>
      <w:r>
        <w:rPr>
          <w:rFonts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color w:val="000000" w:themeColor="text1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</w:rPr>
      </w:r>
    </w:p>
    <w:tbl>
      <w:tblPr>
        <w:tblStyle w:val="644"/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817"/>
        <w:gridCol w:w="2365"/>
        <w:gridCol w:w="1701"/>
        <w:gridCol w:w="2675"/>
        <w:gridCol w:w="1906"/>
      </w:tblGrid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№ 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п/п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365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Наименование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Срок 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реализации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 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Результат выполнения 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Ответственные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исполнители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3.2.1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365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Информирование жителей области о преимуществе раздельного сбора мусора и методике тарифообразования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и проведение пресс-конференций, установка информационных стендов                                  и билбордов, разработка и выпуск информационных брошюр, трансляция тематических видеороликов областным тел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еканалом «Мир Белогорья». Привлечение  субъектов предпринимательства                                          к деятельности по обращению                                  со вторичными материальными ресурсами, не являющимися твердыми коммунальными отходами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капитального строительства, транспорта, ЖКХ и топливно-энергетического комплекса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3.2.2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365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и проведение обучающих семинаров жителей области о преимуществе раздельного сбора мусора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Разъяснение жителям региона порядка раздельного сбора мусора                                                в целях повышения качества жизни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капитального строительства, транспорта, ЖКХ и топливно-энергетического комплекса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3.2.3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365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Популяризация и внедрение практик обращения с ТКО, направленных на экопросвещение и экообразование жителей региона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мероприятий, публикаций в средствах массовой информации в сфере обращения с ТКО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Управление капитального строительства, транспорта, ЖКХ и топливно-энергетического комплекса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(по согласованию)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color w:val="000000" w:themeColor="text1"/>
          <w:highlight w:val="none"/>
        </w:rPr>
      </w:pPr>
      <w:r>
        <w:rPr>
          <w:color w:val="000000" w:themeColor="text1"/>
        </w:rPr>
        <w:t xml:space="preserve">-</w:t>
      </w:r>
      <w:r>
        <w:rPr>
          <w:color w:val="000000" w:themeColor="text1"/>
        </w:rPr>
        <w:t xml:space="preserve">-</w:t>
      </w:r>
      <w:r>
        <w:rPr>
          <w:rFonts w:cs="Times New Roman"/>
          <w:color w:val="000000" w:themeColor="text1"/>
          <w:sz w:val="28"/>
          <w:szCs w:val="28"/>
          <w:highlight w:val="none"/>
        </w:rPr>
        <w:t xml:space="preserve">подраздел 9.2 подраздела 9 раздела II «Мероприятия по содействию развитию конкуренции на товарных рынках на территории Ровеньского района»  плана мероприятий </w:t>
      </w:r>
      <w:r>
        <w:rPr>
          <w:rFonts w:cs="Times New Roman"/>
          <w:color w:val="000000" w:themeColor="text1"/>
          <w:sz w:val="28"/>
          <w:szCs w:val="28"/>
        </w:rPr>
        <w:t xml:space="preserve">по содействию развитию конкуренции на территории Ровеньского района  на 2022-2025 годы</w:t>
      </w:r>
      <w:r>
        <w:rPr>
          <w:rFonts w:cs="Times New Roman"/>
          <w:color w:val="000000" w:themeColor="text1"/>
          <w:sz w:val="28"/>
          <w:szCs w:val="28"/>
          <w:highlight w:val="none"/>
        </w:rPr>
        <w:t xml:space="preserve"> изложить в следующей редакции:</w:t>
      </w:r>
      <w:r>
        <w:rPr>
          <w:color w:val="000000" w:themeColor="text1"/>
          <w:highlight w:val="none"/>
        </w:rPr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10"/>
        <w:jc w:val="center"/>
        <w:spacing w:before="0" w:after="0"/>
        <w:rPr>
          <w:b/>
          <w:bCs/>
          <w:color w:val="000000" w:themeColor="text1"/>
          <w:highlight w:val="none"/>
        </w:rPr>
      </w:pPr>
      <w:r>
        <w:rPr>
          <w:b/>
          <w:bCs/>
          <w:color w:val="000000" w:themeColor="text1"/>
          <w:highlight w:val="none"/>
        </w:rPr>
        <w:t xml:space="preserve">« 9.2 Рынок финансовых услуг</w:t>
      </w:r>
      <w:r>
        <w:rPr>
          <w:b/>
          <w:bCs/>
          <w:color w:val="000000" w:themeColor="text1"/>
          <w:highlight w:val="none"/>
        </w:rPr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color w:val="000000" w:themeColor="text1"/>
          <w:highlight w:val="none"/>
        </w:rPr>
      </w:pP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Style w:val="644"/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817"/>
        <w:gridCol w:w="2790"/>
        <w:gridCol w:w="1276"/>
        <w:gridCol w:w="2675"/>
        <w:gridCol w:w="1906"/>
      </w:tblGrid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№ 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п/п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0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Наименование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Срок 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реализации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 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Результат выполнения мероприятия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color w:val="000000" w:themeColor="text1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Ответственные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rFonts w:cs="Times New Roman"/>
                <w:color w:val="000000" w:themeColor="text1"/>
                <w:highlight w:val="none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исполнители</w:t>
            </w: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highlight w:val="none"/>
                <w14:ligatures w14:val="none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9.2.1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0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и проведение опросов субъектов МСП в рамках мониторинга конкуренции и доступности финансовых услуг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Учет мнения субъектов МСП                           в целях развития конкуренции                         на рынке финансовых услуг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9.2.2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0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Оказание поддержки в проведении организационно-распорядительных мероприятий, направленных на недопущение препятствования в реализации гражданами права выбора организации для получения пенсий и иных социальных выплат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Обеспечение условий для развит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ия спроса на услуги, необходимые                                    для получения гражданами различного рода выплат, всех категорий хозяйствующих субъектов, предлагающих                                                  или способных предложить такие услуги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  <w14:ligatures w14:val="non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Структурные подразделен ия администрации  Ровеньского района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9.2.3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790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Участие в организационно-распорядительных мероприятиях, направленных на недопущение направления исполнительными органами области и органами местного самоуправления Белгородской области подведо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мственным учреждениям указаний или рекомендаций о необходимости получения отдельных услуг и/или перехода на обслуживание в определенные кредитные организации, в том числе в рамках получения услуг по выплате заработной платы с использованием банковских карт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2022 – 2025 годы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75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Обеспечение конкурентных условий доступа финансовых организаций к предоставлению финансовых  услуг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906" w:type="dxa"/>
            <w:vMerge w:val="restart"/>
            <w:textDirection w:val="lrTb"/>
            <w:noWrap w:val="false"/>
          </w:tcPr>
          <w:p>
            <w:pPr>
              <w:pStyle w:val="868"/>
              <w:numPr>
                <w:ilvl w:val="0"/>
                <w:numId w:val="0"/>
              </w:numPr>
              <w:ind w:left="0" w:right="0" w:firstLine="0"/>
              <w:jc w:val="both"/>
              <w:spacing w:before="0" w:after="0"/>
              <w:tabs>
                <w:tab w:val="left" w:pos="5102" w:leader="none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Структурные подразделен ия администрации  Ровеньского района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868"/>
        <w:numPr>
          <w:ilvl w:val="0"/>
          <w:numId w:val="0"/>
        </w:numPr>
        <w:ind w:left="0" w:right="0" w:firstLine="510"/>
        <w:jc w:val="both"/>
        <w:spacing w:before="0" w:after="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68"/>
        <w:numPr>
          <w:ilvl w:val="0"/>
          <w:numId w:val="0"/>
        </w:numPr>
        <w:ind w:left="0" w:right="0" w:firstLine="567"/>
        <w:jc w:val="both"/>
        <w:spacing w:before="0" w:after="0"/>
        <w:rPr>
          <w:color w:val="000000" w:themeColor="text1"/>
        </w:rPr>
      </w:pPr>
      <w:r>
        <w:rPr>
          <w:rFonts w:cs="Times New Roman"/>
          <w:color w:val="000000" w:themeColor="text1"/>
          <w:sz w:val="28"/>
        </w:rPr>
        <w:t xml:space="preserve">2. Контроль за исполнением настоящего постановления возложить на </w:t>
      </w:r>
      <w:r>
        <w:rPr>
          <w:rFonts w:cs="Times New Roman"/>
          <w:b/>
          <w:color w:val="000000" w:themeColor="text1"/>
          <w:sz w:val="28"/>
        </w:rPr>
        <w:t xml:space="preserve"> </w:t>
      </w:r>
      <w:r>
        <w:rPr>
          <w:rFonts w:cs="Times New Roman"/>
          <w:color w:val="000000" w:themeColor="text1"/>
          <w:sz w:val="28"/>
        </w:rPr>
        <w:t xml:space="preserve">первого заместителя главы администрации Ровеньского района по</w:t>
      </w:r>
      <w:r>
        <w:rPr>
          <w:color w:val="000000" w:themeColor="text1"/>
          <w:sz w:val="28"/>
        </w:rPr>
        <w:t xml:space="preserve"> экономике — начальника управления финансов и бюджетной политики администрации Ровеньского района М.В. Подобную.</w:t>
      </w:r>
      <w:r>
        <w:rPr>
          <w:color w:val="000000" w:themeColor="text1"/>
        </w:rPr>
      </w:r>
    </w:p>
    <w:p>
      <w:pPr>
        <w:pStyle w:val="869"/>
        <w:numPr>
          <w:ilvl w:val="0"/>
          <w:numId w:val="0"/>
        </w:numPr>
        <w:ind w:left="-176" w:right="0" w:firstLine="0"/>
        <w:tabs>
          <w:tab w:val="left" w:pos="566" w:leader="none"/>
          <w:tab w:val="clear" w:pos="720" w:leader="none"/>
        </w:tabs>
        <w:rPr>
          <w:color w:val="000000" w:themeColor="text1"/>
        </w:rPr>
      </w:pPr>
      <w:r>
        <w:rPr>
          <w:color w:val="000000" w:themeColor="text1"/>
        </w:rPr>
        <w:t xml:space="preserve">     </w:t>
      </w:r>
      <w:r>
        <w:rPr>
          <w:color w:val="000000" w:themeColor="text1"/>
        </w:rPr>
      </w:r>
    </w:p>
    <w:p>
      <w:pPr>
        <w:pStyle w:val="869"/>
        <w:numPr>
          <w:ilvl w:val="0"/>
          <w:numId w:val="0"/>
        </w:numPr>
        <w:ind w:left="-176" w:right="0" w:firstLine="0"/>
        <w:tabs>
          <w:tab w:val="left" w:pos="566" w:leader="none"/>
          <w:tab w:val="clear" w:pos="720" w:leader="none"/>
        </w:tabs>
      </w:pPr>
      <w:r/>
      <w:r/>
    </w:p>
    <w:p>
      <w:pPr>
        <w:pStyle w:val="869"/>
        <w:numPr>
          <w:ilvl w:val="0"/>
          <w:numId w:val="0"/>
        </w:numPr>
        <w:ind w:left="-176" w:right="0" w:firstLine="0"/>
        <w:tabs>
          <w:tab w:val="left" w:pos="566" w:leader="none"/>
          <w:tab w:val="clear" w:pos="720" w:leader="none"/>
        </w:tabs>
      </w:pPr>
      <w:r/>
      <w:r/>
    </w:p>
    <w:p>
      <w:pPr>
        <w:pStyle w:val="871"/>
        <w:jc w:val="both"/>
      </w:pPr>
      <w:r>
        <w:rPr>
          <w:b/>
          <w:sz w:val="28"/>
        </w:rPr>
        <w:t xml:space="preserve">                </w:t>
      </w:r>
      <w:r>
        <w:rPr>
          <w:b/>
          <w:sz w:val="28"/>
        </w:rPr>
        <w:t xml:space="preserve"> </w:t>
      </w:r>
      <w:r/>
    </w:p>
    <w:p>
      <w:pPr>
        <w:pStyle w:val="871"/>
        <w:jc w:val="both"/>
        <w:rPr>
          <w:b/>
          <w:bCs/>
          <w:sz w:val="28"/>
          <w:szCs w:val="28"/>
        </w:rPr>
      </w:pPr>
      <w:r>
        <w:rPr>
          <w:b/>
          <w:sz w:val="28"/>
        </w:rPr>
        <w:t xml:space="preserve">      Глава администрации </w:t>
      </w:r>
      <w:r/>
    </w:p>
    <w:p>
      <w:pPr>
        <w:pStyle w:val="871"/>
        <w:jc w:val="both"/>
        <w:rPr>
          <w:b/>
          <w:bCs/>
          <w:sz w:val="28"/>
          <w:szCs w:val="28"/>
          <w14:ligatures w14:val="none"/>
        </w:rPr>
      </w:pPr>
      <w:r>
        <w:rPr>
          <w:b/>
          <w:sz w:val="28"/>
        </w:rPr>
        <w:t xml:space="preserve">       Ровеньского  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района </w:t>
      </w:r>
      <w:r>
        <w:t xml:space="preserve">                                                                            </w:t>
      </w:r>
      <w:r>
        <w:rPr>
          <w:b/>
          <w:bCs/>
          <w:sz w:val="28"/>
          <w:szCs w:val="28"/>
        </w:rPr>
        <w:t xml:space="preserve">Т.В. Киричкова</w:t>
      </w:r>
      <w:r>
        <w:rPr>
          <w:b/>
          <w:bCs/>
          <w:sz w:val="28"/>
          <w:szCs w:val="28"/>
        </w:rPr>
      </w:r>
      <w:r/>
    </w:p>
    <w:p>
      <w:pPr>
        <w:pStyle w:val="814"/>
        <w:numPr>
          <w:ilvl w:val="0"/>
          <w:numId w:val="0"/>
        </w:numPr>
        <w:ind w:left="0" w:right="0" w:firstLine="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</w:pPr>
      <w:r/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sz w:val="28"/>
        </w:rPr>
      </w:pPr>
      <w:r>
        <w:rPr>
          <w:b/>
          <w:sz w:val="28"/>
        </w:rPr>
      </w:r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bCs/>
          <w:sz w:val="28"/>
          <w:szCs w:val="28"/>
        </w:rPr>
      </w:pPr>
      <w:r>
        <w:rPr>
          <w:b/>
          <w:sz w:val="28"/>
        </w:rPr>
      </w:r>
      <w:r>
        <w:rPr>
          <w:b/>
          <w:sz w:val="28"/>
        </w:rPr>
      </w:r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30"/>
        <w:numPr>
          <w:ilvl w:val="0"/>
          <w:numId w:val="0"/>
        </w:numPr>
        <w:ind w:left="0" w:righ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831"/>
        <w:numPr>
          <w:ilvl w:val="0"/>
          <w:numId w:val="0"/>
        </w:numPr>
        <w:ind w:left="0" w:right="0" w:firstLine="283"/>
        <w:tabs>
          <w:tab w:val="clear" w:pos="720" w:leader="none"/>
          <w:tab w:val="left" w:pos="6043" w:leader="none"/>
        </w:tabs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  <w:spacing w:before="0" w:after="0" w:line="240" w:lineRule="auto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0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709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709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709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709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709"/>
        <w:jc w:val="both"/>
      </w:pPr>
      <w:r/>
      <w:r/>
    </w:p>
    <w:p>
      <w:pPr>
        <w:pStyle w:val="830"/>
        <w:numPr>
          <w:ilvl w:val="0"/>
          <w:numId w:val="0"/>
        </w:numPr>
        <w:ind w:left="0" w:right="0" w:firstLine="709"/>
        <w:jc w:val="both"/>
        <w:spacing w:before="0" w:after="200"/>
      </w:pPr>
      <w:r/>
      <w:r/>
    </w:p>
    <w:sectPr>
      <w:footnotePr/>
      <w:endnotePr/>
      <w:type w:val="nextPage"/>
      <w:pgSz w:w="11906" w:h="16838" w:orient="portrait"/>
      <w:pgMar w:top="568" w:right="991" w:bottom="709" w:left="1375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Times New Roman">
    <w:panose1 w:val="02020603050405020304"/>
  </w:font>
  <w:font w:name="Wingdings">
    <w:panose1 w:val="05010000000000000000"/>
  </w:font>
  <w:font w:name="Liberation Sans">
    <w:panose1 w:val="020B0604020202020204"/>
  </w:font>
  <w:font w:name="OpenSymbol">
    <w:panose1 w:val="05010000000000000000"/>
  </w:font>
  <w:font w:name="Courier New">
    <w:panose1 w:val="02070309020205020404"/>
  </w:font>
  <w:font w:name="Droid Sans Fallback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1">
      <w:start w:val="0"/>
      <w:numFmt w:val="bullet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2">
      <w:start w:val="0"/>
      <w:numFmt w:val="bullet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3">
      <w:start w:val="0"/>
      <w:numFmt w:val="bullet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4">
      <w:start w:val="0"/>
      <w:numFmt w:val="bullet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5">
      <w:start w:val="0"/>
      <w:numFmt w:val="bullet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6">
      <w:start w:val="0"/>
      <w:numFmt w:val="bullet"/>
      <w:isLgl w:val="false"/>
      <w:suff w:val="tab"/>
      <w:lvlText w:val="·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7">
      <w:start w:val="0"/>
      <w:numFmt w:val="bullet"/>
      <w:isLgl w:val="false"/>
      <w:suff w:val="tab"/>
      <w:lvlText w:val="o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  <w:lvl w:ilvl="8">
      <w:start w:val="0"/>
      <w:numFmt w:val="bullet"/>
      <w:isLgl w:val="false"/>
      <w:suff w:val="tab"/>
      <w:lvlText w:val="§"/>
      <w:lvlJc w:val="left"/>
      <w:pPr>
        <w:ind w:left="0" w:firstLine="0"/>
        <w:tabs>
          <w:tab w:val="num" w:pos="0" w:leader="none"/>
        </w:tabs>
      </w:pPr>
      <w:rPr>
        <w:rFonts w:hint="default" w:ascii="OpenSymbol" w:hAnsi="OpenSymbol" w:cs="OpenSymbol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1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3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5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7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9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1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3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5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7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Droid Sans Fallback" w:cs="Arial"/>
        <w:color w:val="000000"/>
        <w:sz w:val="22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4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4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4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4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7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7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7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7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7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7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68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68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68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68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68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68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8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8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9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9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9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9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0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0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1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1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1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1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1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3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3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3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4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4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4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4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4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4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4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4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4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5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5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5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5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5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5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5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5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5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5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6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6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6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6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6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6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6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6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6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6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70">
    <w:name w:val="Hyperlink"/>
    <w:uiPriority w:val="99"/>
    <w:unhideWhenUsed/>
    <w:rPr>
      <w:color w:val="0000ff" w:themeColor="hyperlink"/>
      <w:u w:val="single"/>
    </w:rPr>
  </w:style>
  <w:style w:type="character" w:styleId="771">
    <w:name w:val="footnote reference"/>
    <w:basedOn w:val="812"/>
    <w:uiPriority w:val="99"/>
    <w:unhideWhenUsed/>
    <w:rPr>
      <w:vertAlign w:val="superscript"/>
    </w:rPr>
  </w:style>
  <w:style w:type="character" w:styleId="772">
    <w:name w:val="endnote reference"/>
    <w:basedOn w:val="812"/>
    <w:uiPriority w:val="99"/>
    <w:semiHidden/>
    <w:unhideWhenUsed/>
    <w:rPr>
      <w:vertAlign w:val="superscript"/>
    </w:rPr>
  </w:style>
  <w:style w:type="paragraph" w:styleId="773" w:default="1" w:customStyle="1">
    <w:name w:val="Normal"/>
    <w:qFormat/>
    <w:pPr>
      <w:ind w:left="0" w:right="0" w:firstLine="0"/>
      <w:jc w:val="left"/>
      <w:spacing w:before="0" w:after="200" w:line="276" w:lineRule="auto"/>
      <w:widowControl/>
    </w:pPr>
    <w:rPr>
      <w:rFonts w:ascii="Arial" w:hAnsi="Arial" w:eastAsia="Droid Sans Fallback" w:cs="Arial"/>
      <w:color w:val="000000"/>
      <w:spacing w:val="0"/>
      <w:sz w:val="22"/>
      <w:szCs w:val="20"/>
      <w:lang w:val="ru-RU" w:eastAsia="zh-CN" w:bidi="hi-IN"/>
    </w:rPr>
  </w:style>
  <w:style w:type="paragraph" w:styleId="774" w:customStyle="1">
    <w:name w:val="Heading 1"/>
    <w:basedOn w:val="830"/>
    <w:qFormat/>
    <w:pPr>
      <w:spacing w:before="480" w:after="200"/>
    </w:pPr>
    <w:rPr>
      <w:rFonts w:ascii="Arial" w:hAnsi="Arial" w:cs="Arial"/>
      <w:sz w:val="40"/>
    </w:rPr>
  </w:style>
  <w:style w:type="paragraph" w:styleId="775" w:customStyle="1">
    <w:name w:val="Heading 2"/>
    <w:basedOn w:val="830"/>
    <w:qFormat/>
    <w:pPr>
      <w:spacing w:before="360" w:after="200"/>
    </w:pPr>
    <w:rPr>
      <w:rFonts w:ascii="Arial" w:hAnsi="Arial" w:cs="Arial"/>
      <w:sz w:val="34"/>
    </w:rPr>
  </w:style>
  <w:style w:type="paragraph" w:styleId="776" w:customStyle="1">
    <w:name w:val="Heading 3"/>
    <w:basedOn w:val="830"/>
    <w:qFormat/>
    <w:pPr>
      <w:spacing w:before="320" w:after="200"/>
    </w:pPr>
    <w:rPr>
      <w:rFonts w:ascii="Arial" w:hAnsi="Arial" w:cs="Arial"/>
      <w:sz w:val="30"/>
    </w:rPr>
  </w:style>
  <w:style w:type="paragraph" w:styleId="777" w:customStyle="1">
    <w:name w:val="Heading 4"/>
    <w:basedOn w:val="830"/>
    <w:qFormat/>
    <w:pPr>
      <w:spacing w:before="320" w:after="200"/>
    </w:pPr>
    <w:rPr>
      <w:rFonts w:ascii="Arial" w:hAnsi="Arial" w:cs="Arial"/>
      <w:b/>
      <w:sz w:val="26"/>
    </w:rPr>
  </w:style>
  <w:style w:type="paragraph" w:styleId="778" w:customStyle="1">
    <w:name w:val="Heading 5"/>
    <w:basedOn w:val="830"/>
    <w:qFormat/>
    <w:pPr>
      <w:spacing w:before="320" w:after="200"/>
    </w:pPr>
    <w:rPr>
      <w:rFonts w:ascii="Arial" w:hAnsi="Arial" w:cs="Arial"/>
      <w:b/>
      <w:sz w:val="24"/>
    </w:rPr>
  </w:style>
  <w:style w:type="paragraph" w:styleId="779" w:customStyle="1">
    <w:name w:val="Heading 6"/>
    <w:basedOn w:val="830"/>
    <w:qFormat/>
    <w:pPr>
      <w:spacing w:before="320" w:after="200"/>
    </w:pPr>
    <w:rPr>
      <w:rFonts w:ascii="Arial" w:hAnsi="Arial" w:cs="Arial"/>
      <w:b/>
      <w:sz w:val="22"/>
    </w:rPr>
  </w:style>
  <w:style w:type="paragraph" w:styleId="780" w:customStyle="1">
    <w:name w:val="Heading 7"/>
    <w:basedOn w:val="830"/>
    <w:qFormat/>
    <w:pPr>
      <w:spacing w:before="320" w:after="200"/>
    </w:pPr>
    <w:rPr>
      <w:rFonts w:ascii="Arial" w:hAnsi="Arial" w:cs="Arial"/>
      <w:b/>
      <w:i/>
      <w:sz w:val="22"/>
    </w:rPr>
  </w:style>
  <w:style w:type="paragraph" w:styleId="781" w:customStyle="1">
    <w:name w:val="Heading 8"/>
    <w:basedOn w:val="830"/>
    <w:qFormat/>
    <w:pPr>
      <w:spacing w:before="320" w:after="200"/>
    </w:pPr>
    <w:rPr>
      <w:rFonts w:ascii="Arial" w:hAnsi="Arial" w:cs="Arial"/>
      <w:i/>
      <w:sz w:val="22"/>
    </w:rPr>
  </w:style>
  <w:style w:type="paragraph" w:styleId="782" w:customStyle="1">
    <w:name w:val="Heading 9"/>
    <w:basedOn w:val="830"/>
    <w:qFormat/>
    <w:pPr>
      <w:spacing w:before="320" w:after="200"/>
    </w:pPr>
    <w:rPr>
      <w:rFonts w:ascii="Arial" w:hAnsi="Arial" w:cs="Arial"/>
      <w:i/>
      <w:sz w:val="21"/>
    </w:rPr>
  </w:style>
  <w:style w:type="character" w:styleId="783" w:customStyle="1">
    <w:name w:val="DStyle_text"/>
    <w:qFormat/>
    <w:rPr>
      <w:rFonts w:ascii="Arial" w:hAnsi="Arial" w:cs="Arial"/>
      <w:sz w:val="22"/>
    </w:rPr>
  </w:style>
  <w:style w:type="character" w:styleId="784" w:customStyle="1">
    <w:name w:val="Интернет-ссылка"/>
    <w:basedOn w:val="783"/>
    <w:qFormat/>
    <w:rPr>
      <w:color w:val="0000ff"/>
      <w:u w:val="single"/>
    </w:rPr>
  </w:style>
  <w:style w:type="character" w:styleId="785" w:customStyle="1">
    <w:name w:val="Footnote Characters"/>
    <w:basedOn w:val="812"/>
    <w:qFormat/>
  </w:style>
  <w:style w:type="character" w:styleId="786" w:customStyle="1">
    <w:name w:val="Endnote Characters"/>
    <w:basedOn w:val="812"/>
    <w:qFormat/>
  </w:style>
  <w:style w:type="character" w:styleId="787" w:customStyle="1">
    <w:name w:val="Heading 1 Char"/>
    <w:basedOn w:val="783"/>
    <w:qFormat/>
    <w:rPr>
      <w:rFonts w:ascii="Arial" w:hAnsi="Arial" w:cs="Arial"/>
      <w:sz w:val="40"/>
    </w:rPr>
  </w:style>
  <w:style w:type="character" w:styleId="788" w:customStyle="1">
    <w:name w:val="Heading 2 Char"/>
    <w:basedOn w:val="783"/>
    <w:qFormat/>
    <w:rPr>
      <w:rFonts w:ascii="Arial" w:hAnsi="Arial" w:cs="Arial"/>
      <w:sz w:val="34"/>
    </w:rPr>
  </w:style>
  <w:style w:type="character" w:styleId="789" w:customStyle="1">
    <w:name w:val="Heading 3 Char"/>
    <w:basedOn w:val="783"/>
    <w:qFormat/>
    <w:rPr>
      <w:rFonts w:ascii="Arial" w:hAnsi="Arial" w:cs="Arial"/>
      <w:sz w:val="30"/>
    </w:rPr>
  </w:style>
  <w:style w:type="character" w:styleId="790" w:customStyle="1">
    <w:name w:val="Heading 4 Char"/>
    <w:basedOn w:val="783"/>
    <w:qFormat/>
    <w:rPr>
      <w:rFonts w:ascii="Arial" w:hAnsi="Arial" w:cs="Arial"/>
      <w:b/>
      <w:sz w:val="26"/>
    </w:rPr>
  </w:style>
  <w:style w:type="character" w:styleId="791" w:customStyle="1">
    <w:name w:val="Heading 5 Char"/>
    <w:basedOn w:val="783"/>
    <w:qFormat/>
    <w:rPr>
      <w:rFonts w:ascii="Arial" w:hAnsi="Arial" w:cs="Arial"/>
      <w:b/>
      <w:sz w:val="24"/>
    </w:rPr>
  </w:style>
  <w:style w:type="character" w:styleId="792" w:customStyle="1">
    <w:name w:val="Heading 6 Char"/>
    <w:basedOn w:val="783"/>
    <w:qFormat/>
    <w:rPr>
      <w:rFonts w:ascii="Arial" w:hAnsi="Arial" w:cs="Arial"/>
      <w:b/>
      <w:sz w:val="22"/>
    </w:rPr>
  </w:style>
  <w:style w:type="character" w:styleId="793" w:customStyle="1">
    <w:name w:val="Heading 7 Char"/>
    <w:basedOn w:val="783"/>
    <w:qFormat/>
    <w:rPr>
      <w:rFonts w:ascii="Arial" w:hAnsi="Arial" w:cs="Arial"/>
      <w:b/>
      <w:i/>
      <w:sz w:val="22"/>
    </w:rPr>
  </w:style>
  <w:style w:type="character" w:styleId="794" w:customStyle="1">
    <w:name w:val="Heading 8 Char"/>
    <w:basedOn w:val="783"/>
    <w:qFormat/>
    <w:rPr>
      <w:rFonts w:ascii="Arial" w:hAnsi="Arial" w:cs="Arial"/>
      <w:i/>
      <w:sz w:val="22"/>
    </w:rPr>
  </w:style>
  <w:style w:type="character" w:styleId="795" w:customStyle="1">
    <w:name w:val="Heading 9 Char"/>
    <w:basedOn w:val="783"/>
    <w:qFormat/>
    <w:rPr>
      <w:rFonts w:ascii="Arial" w:hAnsi="Arial" w:cs="Arial"/>
      <w:i/>
      <w:sz w:val="21"/>
    </w:rPr>
  </w:style>
  <w:style w:type="character" w:styleId="796" w:customStyle="1">
    <w:name w:val="Title Char"/>
    <w:basedOn w:val="783"/>
    <w:qFormat/>
    <w:rPr>
      <w:sz w:val="48"/>
    </w:rPr>
  </w:style>
  <w:style w:type="character" w:styleId="797" w:customStyle="1">
    <w:name w:val="Subtitle Char"/>
    <w:basedOn w:val="783"/>
    <w:qFormat/>
    <w:rPr>
      <w:sz w:val="24"/>
    </w:rPr>
  </w:style>
  <w:style w:type="character" w:styleId="798" w:customStyle="1">
    <w:name w:val="Quote Char"/>
    <w:basedOn w:val="783"/>
    <w:qFormat/>
    <w:rPr>
      <w:i/>
    </w:rPr>
  </w:style>
  <w:style w:type="character" w:styleId="799" w:customStyle="1">
    <w:name w:val="Intense Quote Char"/>
    <w:basedOn w:val="783"/>
    <w:qFormat/>
    <w:rPr>
      <w:i/>
    </w:rPr>
  </w:style>
  <w:style w:type="character" w:styleId="800" w:customStyle="1">
    <w:name w:val="Header Char"/>
    <w:basedOn w:val="783"/>
    <w:qFormat/>
  </w:style>
  <w:style w:type="character" w:styleId="801" w:customStyle="1">
    <w:name w:val="Footer Char"/>
    <w:basedOn w:val="783"/>
    <w:qFormat/>
  </w:style>
  <w:style w:type="character" w:styleId="802" w:customStyle="1">
    <w:name w:val="Caption Char"/>
    <w:basedOn w:val="783"/>
    <w:qFormat/>
  </w:style>
  <w:style w:type="character" w:styleId="803" w:customStyle="1">
    <w:name w:val="Footnote Text Char"/>
    <w:basedOn w:val="783"/>
    <w:qFormat/>
    <w:rPr>
      <w:sz w:val="18"/>
    </w:rPr>
  </w:style>
  <w:style w:type="character" w:styleId="804" w:customStyle="1">
    <w:name w:val="Привязка сноски"/>
    <w:basedOn w:val="783"/>
  </w:style>
  <w:style w:type="character" w:styleId="805" w:customStyle="1">
    <w:name w:val="Endnote Text Char"/>
    <w:basedOn w:val="783"/>
    <w:qFormat/>
    <w:rPr>
      <w:sz w:val="20"/>
    </w:rPr>
  </w:style>
  <w:style w:type="character" w:styleId="806" w:customStyle="1">
    <w:name w:val="Привязка концевой сноски"/>
    <w:basedOn w:val="783"/>
  </w:style>
  <w:style w:type="character" w:styleId="807" w:customStyle="1">
    <w:name w:val="Основной шрифт абзаца"/>
    <w:basedOn w:val="783"/>
    <w:qFormat/>
  </w:style>
  <w:style w:type="character" w:styleId="808" w:customStyle="1">
    <w:name w:val="Основной шрифт абзаца3"/>
    <w:basedOn w:val="783"/>
    <w:qFormat/>
  </w:style>
  <w:style w:type="character" w:styleId="809" w:customStyle="1">
    <w:name w:val="Основной шрифт абзаца2"/>
    <w:basedOn w:val="783"/>
    <w:qFormat/>
  </w:style>
  <w:style w:type="character" w:styleId="810" w:customStyle="1">
    <w:name w:val="Основной шрифт абзаца1"/>
    <w:basedOn w:val="783"/>
    <w:qFormat/>
  </w:style>
  <w:style w:type="character" w:styleId="811" w:customStyle="1">
    <w:name w:val="Стандартный HTML Знак"/>
    <w:basedOn w:val="783"/>
    <w:qFormat/>
    <w:rPr>
      <w:rFonts w:ascii="Courier New" w:hAnsi="Courier New" w:cs="Courier New"/>
    </w:rPr>
  </w:style>
  <w:style w:type="character" w:styleId="812" w:default="1" w:customStyle="1">
    <w:name w:val="Default Paragraph Font"/>
    <w:basedOn w:val="783"/>
    <w:qFormat/>
  </w:style>
  <w:style w:type="paragraph" w:styleId="813" w:customStyle="1">
    <w:name w:val="Заголовок"/>
    <w:basedOn w:val="830"/>
    <w:next w:val="814"/>
    <w:qFormat/>
    <w:pPr>
      <w:spacing w:before="240" w:after="120"/>
    </w:pPr>
    <w:rPr>
      <w:rFonts w:ascii="Liberation Sans" w:hAnsi="Liberation Sans" w:cs="Liberation Sans"/>
      <w:sz w:val="28"/>
    </w:rPr>
  </w:style>
  <w:style w:type="paragraph" w:styleId="814">
    <w:name w:val="Body Text"/>
    <w:basedOn w:val="773"/>
    <w:pPr>
      <w:spacing w:before="0" w:after="140" w:line="276" w:lineRule="auto"/>
    </w:pPr>
  </w:style>
  <w:style w:type="paragraph" w:styleId="815" w:customStyle="1">
    <w:name w:val="List"/>
    <w:basedOn w:val="831"/>
  </w:style>
  <w:style w:type="paragraph" w:styleId="816" w:customStyle="1">
    <w:name w:val="Caption"/>
    <w:basedOn w:val="830"/>
    <w:qFormat/>
    <w:pPr>
      <w:spacing w:before="120" w:after="120"/>
    </w:pPr>
    <w:rPr>
      <w:i/>
      <w:sz w:val="24"/>
    </w:rPr>
  </w:style>
  <w:style w:type="paragraph" w:styleId="817" w:customStyle="1">
    <w:name w:val="Указатель"/>
    <w:basedOn w:val="830"/>
    <w:qFormat/>
  </w:style>
  <w:style w:type="paragraph" w:styleId="818" w:customStyle="1">
    <w:name w:val="DStyle_paragraph"/>
    <w:basedOn w:val="773"/>
    <w:qFormat/>
    <w:rPr>
      <w:rFonts w:ascii="Arial" w:hAnsi="Arial" w:cs="Arial"/>
      <w:color w:val="000000"/>
      <w:sz w:val="22"/>
    </w:rPr>
  </w:style>
  <w:style w:type="paragraph" w:styleId="819" w:customStyle="1">
    <w:name w:val="footnote text"/>
    <w:basedOn w:val="773"/>
    <w:pPr>
      <w:spacing w:before="0" w:after="40" w:line="240" w:lineRule="auto"/>
    </w:pPr>
    <w:rPr>
      <w:sz w:val="18"/>
    </w:rPr>
  </w:style>
  <w:style w:type="paragraph" w:styleId="820" w:customStyle="1">
    <w:name w:val="endnote text"/>
    <w:basedOn w:val="773"/>
    <w:pPr>
      <w:spacing w:before="0" w:after="0" w:line="240" w:lineRule="auto"/>
    </w:pPr>
    <w:rPr>
      <w:sz w:val="20"/>
    </w:rPr>
  </w:style>
  <w:style w:type="paragraph" w:styleId="821" w:customStyle="1">
    <w:name w:val="toc 1"/>
    <w:basedOn w:val="773"/>
    <w:pPr>
      <w:ind w:left="0" w:right="0" w:firstLine="0"/>
      <w:spacing w:before="0" w:after="57"/>
    </w:pPr>
  </w:style>
  <w:style w:type="paragraph" w:styleId="822" w:customStyle="1">
    <w:name w:val="toc 2"/>
    <w:basedOn w:val="773"/>
    <w:pPr>
      <w:ind w:left="283" w:right="0" w:firstLine="0"/>
      <w:spacing w:before="0" w:after="57"/>
    </w:pPr>
  </w:style>
  <w:style w:type="paragraph" w:styleId="823" w:customStyle="1">
    <w:name w:val="toc 3"/>
    <w:basedOn w:val="773"/>
    <w:pPr>
      <w:ind w:left="567" w:right="0" w:firstLine="0"/>
      <w:spacing w:before="0" w:after="57"/>
    </w:pPr>
  </w:style>
  <w:style w:type="paragraph" w:styleId="824" w:customStyle="1">
    <w:name w:val="toc 4"/>
    <w:basedOn w:val="773"/>
    <w:pPr>
      <w:ind w:left="850" w:right="0" w:firstLine="0"/>
      <w:spacing w:before="0" w:after="57"/>
    </w:pPr>
  </w:style>
  <w:style w:type="paragraph" w:styleId="825" w:customStyle="1">
    <w:name w:val="toc 5"/>
    <w:basedOn w:val="773"/>
    <w:pPr>
      <w:ind w:left="1134" w:right="0" w:firstLine="0"/>
      <w:spacing w:before="0" w:after="57"/>
    </w:pPr>
  </w:style>
  <w:style w:type="paragraph" w:styleId="826" w:customStyle="1">
    <w:name w:val="toc 6"/>
    <w:basedOn w:val="773"/>
    <w:pPr>
      <w:ind w:left="1417" w:right="0" w:firstLine="0"/>
      <w:spacing w:before="0" w:after="57"/>
    </w:pPr>
  </w:style>
  <w:style w:type="paragraph" w:styleId="827" w:customStyle="1">
    <w:name w:val="toc 7"/>
    <w:basedOn w:val="773"/>
    <w:pPr>
      <w:ind w:left="1701" w:right="0" w:firstLine="0"/>
      <w:spacing w:before="0" w:after="57"/>
    </w:pPr>
  </w:style>
  <w:style w:type="paragraph" w:styleId="828" w:customStyle="1">
    <w:name w:val="toc 8"/>
    <w:basedOn w:val="773"/>
    <w:pPr>
      <w:ind w:left="1984" w:right="0" w:firstLine="0"/>
      <w:spacing w:before="0" w:after="57"/>
    </w:pPr>
  </w:style>
  <w:style w:type="paragraph" w:styleId="829" w:customStyle="1">
    <w:name w:val="toc 9"/>
    <w:basedOn w:val="773"/>
    <w:pPr>
      <w:ind w:left="2268" w:right="0" w:firstLine="0"/>
      <w:spacing w:before="0" w:after="57"/>
    </w:pPr>
  </w:style>
  <w:style w:type="paragraph" w:styleId="830" w:customStyle="1">
    <w:name w:val="Standard"/>
    <w:basedOn w:val="773"/>
    <w:qFormat/>
    <w:pPr>
      <w:jc w:val="left"/>
      <w:spacing w:before="0" w:after="200" w:line="276" w:lineRule="auto"/>
    </w:pPr>
    <w:rPr>
      <w:rFonts w:ascii="Times New Roman" w:hAnsi="Times New Roman" w:cs="Times New Roman"/>
      <w:color w:val="000000"/>
      <w:sz w:val="28"/>
    </w:rPr>
  </w:style>
  <w:style w:type="paragraph" w:styleId="831" w:customStyle="1">
    <w:name w:val="Text body"/>
    <w:basedOn w:val="830"/>
    <w:qFormat/>
    <w:pPr>
      <w:spacing w:before="280" w:after="280"/>
    </w:pPr>
    <w:rPr>
      <w:sz w:val="24"/>
    </w:rPr>
  </w:style>
  <w:style w:type="paragraph" w:styleId="832" w:customStyle="1">
    <w:name w:val="List Paragraph"/>
    <w:basedOn w:val="830"/>
    <w:qFormat/>
    <w:pPr>
      <w:ind w:left="720" w:right="0" w:firstLine="0"/>
      <w:spacing w:before="0" w:after="200"/>
    </w:pPr>
  </w:style>
  <w:style w:type="paragraph" w:styleId="833" w:customStyle="1">
    <w:name w:val="Title"/>
    <w:basedOn w:val="830"/>
    <w:qFormat/>
    <w:pPr>
      <w:spacing w:before="300" w:after="200"/>
    </w:pPr>
    <w:rPr>
      <w:sz w:val="48"/>
    </w:rPr>
  </w:style>
  <w:style w:type="paragraph" w:styleId="834" w:customStyle="1">
    <w:name w:val="Subtitle"/>
    <w:basedOn w:val="830"/>
    <w:qFormat/>
    <w:pPr>
      <w:spacing w:before="200" w:after="200"/>
    </w:pPr>
    <w:rPr>
      <w:sz w:val="24"/>
    </w:rPr>
  </w:style>
  <w:style w:type="paragraph" w:styleId="835" w:customStyle="1">
    <w:name w:val="Quote"/>
    <w:basedOn w:val="830"/>
    <w:qFormat/>
    <w:pPr>
      <w:ind w:left="720" w:right="720" w:firstLine="0"/>
    </w:pPr>
    <w:rPr>
      <w:i/>
    </w:rPr>
  </w:style>
  <w:style w:type="paragraph" w:styleId="836" w:customStyle="1">
    <w:name w:val="Intense Quote"/>
    <w:basedOn w:val="830"/>
    <w:qFormat/>
    <w:pPr>
      <w:ind w:left="720" w:right="720" w:firstLine="0"/>
      <w:spacing w:before="0" w:after="200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paragraph" w:styleId="837" w:customStyle="1">
    <w:name w:val="Колонтитул"/>
    <w:basedOn w:val="830"/>
    <w:qFormat/>
    <w:pPr>
      <w:tabs>
        <w:tab w:val="clear" w:pos="720" w:leader="none"/>
        <w:tab w:val="center" w:pos="4818" w:leader="none"/>
        <w:tab w:val="right" w:pos="9637" w:leader="none"/>
      </w:tabs>
    </w:pPr>
  </w:style>
  <w:style w:type="paragraph" w:styleId="838" w:customStyle="1">
    <w:name w:val="Верхний и нижний колонтитулы"/>
    <w:basedOn w:val="830"/>
    <w:qFormat/>
  </w:style>
  <w:style w:type="paragraph" w:styleId="839" w:customStyle="1">
    <w:name w:val="Header"/>
    <w:basedOn w:val="830"/>
    <w:pPr>
      <w:tabs>
        <w:tab w:val="clear" w:pos="720" w:leader="none"/>
        <w:tab w:val="center" w:pos="4701" w:leader="none"/>
        <w:tab w:val="right" w:pos="9404" w:leader="none"/>
      </w:tabs>
    </w:pPr>
  </w:style>
  <w:style w:type="paragraph" w:styleId="840" w:customStyle="1">
    <w:name w:val="Footer"/>
    <w:basedOn w:val="830"/>
    <w:pPr>
      <w:spacing w:before="0" w:after="0" w:line="240" w:lineRule="auto"/>
      <w:tabs>
        <w:tab w:val="clear" w:pos="720" w:leader="none"/>
        <w:tab w:val="center" w:pos="7142" w:leader="none"/>
        <w:tab w:val="right" w:pos="14285" w:leader="none"/>
      </w:tabs>
    </w:pPr>
  </w:style>
  <w:style w:type="paragraph" w:styleId="841" w:customStyle="1">
    <w:name w:val="Footnote"/>
    <w:basedOn w:val="830"/>
    <w:qFormat/>
    <w:pPr>
      <w:spacing w:before="0" w:after="40" w:line="240" w:lineRule="auto"/>
    </w:pPr>
    <w:rPr>
      <w:sz w:val="18"/>
    </w:rPr>
  </w:style>
  <w:style w:type="paragraph" w:styleId="842" w:customStyle="1">
    <w:name w:val="Endnote"/>
    <w:basedOn w:val="830"/>
    <w:qFormat/>
    <w:pPr>
      <w:spacing w:before="0" w:after="0" w:line="240" w:lineRule="auto"/>
    </w:pPr>
    <w:rPr>
      <w:sz w:val="20"/>
    </w:rPr>
  </w:style>
  <w:style w:type="paragraph" w:styleId="843" w:customStyle="1">
    <w:name w:val="Contents 1"/>
    <w:basedOn w:val="830"/>
    <w:qFormat/>
    <w:pPr>
      <w:ind w:left="0" w:right="0" w:firstLine="0"/>
      <w:spacing w:before="0" w:after="57"/>
    </w:pPr>
  </w:style>
  <w:style w:type="paragraph" w:styleId="844" w:customStyle="1">
    <w:name w:val="Contents 2"/>
    <w:basedOn w:val="830"/>
    <w:qFormat/>
    <w:pPr>
      <w:ind w:left="283" w:right="0" w:firstLine="0"/>
      <w:spacing w:before="0" w:after="57"/>
    </w:pPr>
  </w:style>
  <w:style w:type="paragraph" w:styleId="845" w:customStyle="1">
    <w:name w:val="Contents 3"/>
    <w:basedOn w:val="830"/>
    <w:qFormat/>
    <w:pPr>
      <w:ind w:left="567" w:right="0" w:firstLine="0"/>
      <w:spacing w:before="0" w:after="57"/>
    </w:pPr>
  </w:style>
  <w:style w:type="paragraph" w:styleId="846" w:customStyle="1">
    <w:name w:val="Contents 4"/>
    <w:basedOn w:val="830"/>
    <w:qFormat/>
    <w:pPr>
      <w:ind w:left="850" w:right="0" w:firstLine="0"/>
      <w:spacing w:before="0" w:after="57"/>
    </w:pPr>
  </w:style>
  <w:style w:type="paragraph" w:styleId="847" w:customStyle="1">
    <w:name w:val="Contents 5"/>
    <w:basedOn w:val="830"/>
    <w:qFormat/>
    <w:pPr>
      <w:ind w:left="1134" w:right="0" w:firstLine="0"/>
      <w:spacing w:before="0" w:after="57"/>
    </w:pPr>
  </w:style>
  <w:style w:type="paragraph" w:styleId="848" w:customStyle="1">
    <w:name w:val="Contents 6"/>
    <w:basedOn w:val="830"/>
    <w:qFormat/>
    <w:pPr>
      <w:ind w:left="1417" w:right="0" w:firstLine="0"/>
      <w:spacing w:before="0" w:after="57"/>
    </w:pPr>
  </w:style>
  <w:style w:type="paragraph" w:styleId="849" w:customStyle="1">
    <w:name w:val="Contents 7"/>
    <w:basedOn w:val="830"/>
    <w:qFormat/>
    <w:pPr>
      <w:ind w:left="1701" w:right="0" w:firstLine="0"/>
      <w:spacing w:before="0" w:after="57"/>
    </w:pPr>
  </w:style>
  <w:style w:type="paragraph" w:styleId="850" w:customStyle="1">
    <w:name w:val="Contents 8"/>
    <w:basedOn w:val="830"/>
    <w:qFormat/>
    <w:pPr>
      <w:ind w:left="1984" w:right="0" w:firstLine="0"/>
      <w:spacing w:before="0" w:after="57"/>
    </w:pPr>
  </w:style>
  <w:style w:type="paragraph" w:styleId="851" w:customStyle="1">
    <w:name w:val="Contents 9"/>
    <w:basedOn w:val="830"/>
    <w:qFormat/>
    <w:pPr>
      <w:ind w:left="2268" w:right="0" w:firstLine="0"/>
      <w:spacing w:before="0" w:after="57"/>
    </w:pPr>
  </w:style>
  <w:style w:type="paragraph" w:styleId="852" w:customStyle="1">
    <w:name w:val="TOC Heading"/>
    <w:basedOn w:val="773"/>
    <w:qFormat/>
    <w:pPr>
      <w:jc w:val="left"/>
      <w:spacing w:before="0" w:after="200" w:line="276" w:lineRule="auto"/>
    </w:pPr>
    <w:rPr>
      <w:rFonts w:ascii="Arial" w:hAnsi="Arial" w:cs="Arial"/>
      <w:color w:val="000000"/>
      <w:sz w:val="22"/>
    </w:rPr>
  </w:style>
  <w:style w:type="paragraph" w:styleId="853" w:customStyle="1">
    <w:name w:val="table of figures"/>
    <w:basedOn w:val="830"/>
    <w:qFormat/>
    <w:pPr>
      <w:spacing w:before="0" w:after="0"/>
    </w:pPr>
  </w:style>
  <w:style w:type="paragraph" w:styleId="854" w:customStyle="1">
    <w:name w:val="Название объекта"/>
    <w:basedOn w:val="830"/>
    <w:qFormat/>
    <w:pPr>
      <w:spacing w:before="120" w:after="120"/>
    </w:pPr>
    <w:rPr>
      <w:i/>
      <w:sz w:val="24"/>
    </w:rPr>
  </w:style>
  <w:style w:type="paragraph" w:styleId="855" w:customStyle="1">
    <w:name w:val="Указатель3"/>
    <w:basedOn w:val="830"/>
    <w:qFormat/>
  </w:style>
  <w:style w:type="paragraph" w:styleId="856" w:customStyle="1">
    <w:name w:val="Название объекта2"/>
    <w:basedOn w:val="830"/>
    <w:qFormat/>
    <w:pPr>
      <w:spacing w:before="120" w:after="120"/>
    </w:pPr>
    <w:rPr>
      <w:i/>
      <w:sz w:val="24"/>
    </w:rPr>
  </w:style>
  <w:style w:type="paragraph" w:styleId="857" w:customStyle="1">
    <w:name w:val="Указатель2"/>
    <w:basedOn w:val="830"/>
    <w:qFormat/>
  </w:style>
  <w:style w:type="paragraph" w:styleId="858" w:customStyle="1">
    <w:name w:val="Название объекта1"/>
    <w:basedOn w:val="830"/>
    <w:qFormat/>
    <w:pPr>
      <w:spacing w:before="120" w:after="120"/>
    </w:pPr>
    <w:rPr>
      <w:i/>
      <w:sz w:val="24"/>
    </w:rPr>
  </w:style>
  <w:style w:type="paragraph" w:styleId="859" w:customStyle="1">
    <w:name w:val="Указатель1"/>
    <w:basedOn w:val="830"/>
    <w:qFormat/>
  </w:style>
  <w:style w:type="paragraph" w:styleId="860" w:customStyle="1">
    <w:name w:val="ConsPlusNormal"/>
    <w:basedOn w:val="773"/>
    <w:qFormat/>
    <w:pPr>
      <w:ind w:left="0" w:right="0" w:firstLine="720"/>
      <w:jc w:val="left"/>
      <w:spacing w:before="0" w:after="200" w:line="276" w:lineRule="auto"/>
    </w:pPr>
    <w:rPr>
      <w:rFonts w:ascii="Arial" w:hAnsi="Arial" w:cs="Arial"/>
      <w:color w:val="000000"/>
      <w:sz w:val="20"/>
    </w:rPr>
  </w:style>
  <w:style w:type="paragraph" w:styleId="861" w:customStyle="1">
    <w:name w:val="Знак"/>
    <w:basedOn w:val="830"/>
    <w:qFormat/>
    <w:pPr>
      <w:spacing w:before="0" w:after="160" w:line="240" w:lineRule="exact"/>
    </w:pPr>
    <w:rPr>
      <w:rFonts w:ascii="Verdana" w:hAnsi="Verdana" w:cs="Verdana"/>
      <w:sz w:val="24"/>
    </w:rPr>
  </w:style>
  <w:style w:type="paragraph" w:styleId="862" w:customStyle="1">
    <w:name w:val="consplusnormal"/>
    <w:basedOn w:val="830"/>
    <w:qFormat/>
    <w:pPr>
      <w:spacing w:before="280" w:after="280"/>
    </w:pPr>
    <w:rPr>
      <w:sz w:val="24"/>
    </w:rPr>
  </w:style>
  <w:style w:type="paragraph" w:styleId="863" w:customStyle="1">
    <w:name w:val="ConsPlusNonformat"/>
    <w:basedOn w:val="773"/>
    <w:qFormat/>
    <w:pPr>
      <w:jc w:val="left"/>
      <w:spacing w:before="0" w:after="200" w:line="276" w:lineRule="auto"/>
    </w:pPr>
    <w:rPr>
      <w:rFonts w:ascii="Courier New" w:hAnsi="Courier New" w:cs="Courier New"/>
      <w:color w:val="000000"/>
      <w:sz w:val="20"/>
    </w:rPr>
  </w:style>
  <w:style w:type="paragraph" w:styleId="864" w:customStyle="1">
    <w:name w:val="Стандартный HTML"/>
    <w:basedOn w:val="830"/>
    <w:qFormat/>
    <w:pPr>
      <w:tabs>
        <w:tab w:val="clear" w:pos="720" w:leader="none"/>
        <w:tab w:val="left" w:pos="916" w:leader="none"/>
        <w:tab w:val="left" w:pos="1831" w:leader="none"/>
        <w:tab w:val="left" w:pos="2747" w:leader="none"/>
        <w:tab w:val="left" w:pos="3663" w:leader="none"/>
        <w:tab w:val="left" w:pos="4578" w:leader="none"/>
        <w:tab w:val="left" w:pos="5493" w:leader="none"/>
        <w:tab w:val="left" w:pos="6411" w:leader="none"/>
        <w:tab w:val="left" w:pos="7324" w:leader="none"/>
        <w:tab w:val="left" w:pos="8242" w:leader="none"/>
        <w:tab w:val="left" w:pos="9160" w:leader="none"/>
        <w:tab w:val="left" w:pos="10073" w:leader="none"/>
        <w:tab w:val="left" w:pos="10992" w:leader="none"/>
        <w:tab w:val="left" w:pos="11904" w:leader="none"/>
        <w:tab w:val="left" w:pos="12823" w:leader="none"/>
        <w:tab w:val="left" w:pos="13741" w:leader="none"/>
        <w:tab w:val="left" w:pos="14654" w:leader="none"/>
      </w:tabs>
    </w:pPr>
    <w:rPr>
      <w:rFonts w:ascii="Courier New" w:hAnsi="Courier New" w:cs="Courier New"/>
      <w:sz w:val="20"/>
    </w:rPr>
  </w:style>
  <w:style w:type="paragraph" w:styleId="865" w:customStyle="1">
    <w:name w:val="Текст выноски"/>
    <w:basedOn w:val="830"/>
    <w:qFormat/>
    <w:rPr>
      <w:rFonts w:ascii="Tahoma" w:hAnsi="Tahoma" w:cs="Tahoma"/>
      <w:sz w:val="16"/>
    </w:rPr>
  </w:style>
  <w:style w:type="paragraph" w:styleId="866" w:customStyle="1">
    <w:name w:val="Содержимое таблицы"/>
    <w:basedOn w:val="830"/>
    <w:qFormat/>
  </w:style>
  <w:style w:type="paragraph" w:styleId="867" w:customStyle="1">
    <w:name w:val="Заголовок таблицы"/>
    <w:basedOn w:val="866"/>
    <w:qFormat/>
    <w:pPr>
      <w:jc w:val="center"/>
    </w:pPr>
    <w:rPr>
      <w:b/>
    </w:rPr>
  </w:style>
  <w:style w:type="paragraph" w:styleId="868" w:customStyle="1">
    <w:name w:val="Основной текст 21"/>
    <w:basedOn w:val="830"/>
    <w:qFormat/>
    <w:pPr>
      <w:jc w:val="both"/>
    </w:pPr>
    <w:rPr>
      <w:sz w:val="28"/>
    </w:rPr>
  </w:style>
  <w:style w:type="paragraph" w:styleId="869" w:customStyle="1">
    <w:name w:val="Text body indent"/>
    <w:basedOn w:val="830"/>
    <w:qFormat/>
    <w:pPr>
      <w:ind w:left="283" w:right="0" w:firstLine="0"/>
      <w:spacing w:before="0" w:after="120"/>
    </w:pPr>
  </w:style>
  <w:style w:type="paragraph" w:styleId="870" w:customStyle="1">
    <w:name w:val="No Spacing"/>
    <w:basedOn w:val="773"/>
    <w:qFormat/>
    <w:pPr>
      <w:jc w:val="left"/>
      <w:spacing w:before="0" w:after="200" w:line="276" w:lineRule="auto"/>
    </w:pPr>
    <w:rPr>
      <w:rFonts w:ascii="Calibri" w:hAnsi="Calibri" w:cs="Calibri"/>
      <w:color w:val="000000"/>
      <w:sz w:val="22"/>
    </w:rPr>
  </w:style>
  <w:style w:type="paragraph" w:styleId="871" w:customStyle="1">
    <w:name w:val="Обычный"/>
    <w:basedOn w:val="773"/>
    <w:qFormat/>
    <w:pPr>
      <w:ind w:left="0" w:right="0" w:firstLine="0"/>
      <w:jc w:val="left"/>
      <w:spacing w:before="0" w:after="0" w:line="240" w:lineRule="auto"/>
    </w:pPr>
    <w:rPr>
      <w:rFonts w:ascii="Times New Roman" w:hAnsi="Times New Roman" w:cs="Times New Roman"/>
      <w:b w:val="0"/>
      <w:i w:val="0"/>
      <w:vanish/>
      <w:color w:val="000000"/>
      <w:spacing w:val="0"/>
      <w:sz w:val="20"/>
      <w:u w:val="none"/>
    </w:rPr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  <w:style w:type="character" w:styleId="874" w:customStyle="1">
    <w:name w:val="referenceable"/>
    <w:basedOn w:val="654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6</cp:revision>
  <dcterms:modified xsi:type="dcterms:W3CDTF">2023-10-06T05:38:13Z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