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Карточка инвестиционной площадки</w:t>
      </w:r>
      <w:r>
        <w:rPr>
          <w:rFonts w:ascii="Times New Roman" w:hAnsi="Times New Roman" w:cs="Times New Roman"/>
          <w:b/>
          <w:sz w:val="26"/>
          <w:szCs w:val="26"/>
        </w:rPr>
        <w:t xml:space="preserve"> №</w:t>
      </w:r>
      <w:r>
        <w:rPr>
          <w:rFonts w:ascii="Times New Roman" w:hAnsi="Times New Roman" w:cs="Times New Roman"/>
          <w:b/>
          <w:sz w:val="26"/>
          <w:szCs w:val="26"/>
        </w:rPr>
        <w:t xml:space="preserve">5                        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2023</w:t>
      </w:r>
      <w:r>
        <w:rPr>
          <w:rFonts w:ascii="Times New Roman" w:hAnsi="Times New Roman" w:cs="Times New Roman"/>
          <w:b/>
          <w:sz w:val="26"/>
          <w:szCs w:val="26"/>
        </w:rPr>
        <w:t xml:space="preserve"> год </w:t>
      </w:r>
      <w:r/>
    </w:p>
    <w:p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Наименование инвест</w:t>
      </w:r>
      <w:r>
        <w:rPr>
          <w:rFonts w:ascii="Times New Roman" w:hAnsi="Times New Roman" w:cs="Times New Roman"/>
          <w:b/>
          <w:sz w:val="26"/>
          <w:szCs w:val="26"/>
        </w:rPr>
        <w:t xml:space="preserve">иционной </w:t>
      </w:r>
      <w:r>
        <w:rPr>
          <w:rFonts w:ascii="Times New Roman" w:hAnsi="Times New Roman" w:cs="Times New Roman"/>
          <w:b/>
          <w:sz w:val="26"/>
          <w:szCs w:val="26"/>
        </w:rPr>
        <w:t xml:space="preserve">площадки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Д</w:t>
      </w: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ля создания </w:t>
      </w: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агропарка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/>
    </w:p>
    <w:tbl>
      <w:tblPr>
        <w:tblStyle w:val="477"/>
        <w:tblW w:w="10173" w:type="dxa"/>
        <w:tblLayout w:type="fixed"/>
        <w:tblLook w:val="04A0" w:firstRow="1" w:lastRow="0" w:firstColumn="1" w:lastColumn="0" w:noHBand="0" w:noVBand="1"/>
      </w:tblPr>
      <w:tblGrid>
        <w:gridCol w:w="3369"/>
        <w:gridCol w:w="5103"/>
        <w:gridCol w:w="1701"/>
      </w:tblGrid>
      <w:tr>
        <w:trPr>
          <w:trHeight w:val="2891"/>
        </w:trPr>
        <w:tc>
          <w:tcPr>
            <w:tcW w:w="336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Вид зоны, в которой находится инвестиционная площадка </w:t>
            </w:r>
            <w:r/>
          </w:p>
          <w:p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(ст. 35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ГрК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РФ):</w:t>
            </w:r>
            <w:r/>
          </w:p>
          <w:p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-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жилая 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-общественно-деловая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производственная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, инженерной и транспортной инфраструктур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</w:t>
            </w:r>
            <w:r>
              <w:rPr>
                <w:rFonts w:ascii="Times New Roman" w:hAnsi="Times New Roman" w:cs="Times New Roman"/>
                <w:sz w:val="14"/>
                <w:szCs w:val="14"/>
                <w:u w:val="single"/>
              </w:rPr>
              <w:t xml:space="preserve">сельскохозяйственного использования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-рекреационного назначения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-особо охраняемая территория</w:t>
            </w:r>
            <w:r/>
          </w:p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-специального назначения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и т.д.</w:t>
            </w:r>
            <w:r/>
          </w:p>
        </w:tc>
        <w:tc>
          <w:tcPr>
            <w:tcW w:w="51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Вид разрешенного использования земельных участков 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(в соотв. с приказом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Минэконом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РФ от 01 сентября 2014 года №540):</w:t>
            </w:r>
            <w:r/>
          </w:p>
          <w:p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  <w:u w:val="single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</w:t>
            </w:r>
            <w:r>
              <w:rPr>
                <w:rFonts w:ascii="Times New Roman" w:hAnsi="Times New Roman" w:cs="Times New Roman"/>
                <w:sz w:val="14"/>
                <w:szCs w:val="14"/>
                <w:u w:val="single"/>
              </w:rPr>
              <w:t xml:space="preserve">сельскохозяйственное использование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-жилая застройка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-общественное использование объектов капитального строительства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-предпринимательство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-отдых (рекреация)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  <w:u w:val="single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</w:t>
            </w:r>
            <w:r>
              <w:rPr>
                <w:rFonts w:ascii="Times New Roman" w:hAnsi="Times New Roman" w:cs="Times New Roman"/>
                <w:sz w:val="14"/>
                <w:szCs w:val="14"/>
                <w:u w:val="single"/>
              </w:rPr>
              <w:t xml:space="preserve">производственная деятельность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-транспорт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-обеспечение обороны и безопасности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-деятельность по особой охране и изучению природы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-использование лесов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-водные объекты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-земельные участки (территории) общего пользования</w:t>
            </w:r>
            <w:r/>
          </w:p>
          <w:p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-земельные участки общего назначения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и т.д.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Тип площадки:</w:t>
            </w:r>
            <w:r/>
          </w:p>
          <w:p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 </w:t>
            </w:r>
            <w:r/>
          </w:p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гринфилд</w:t>
            </w:r>
            <w:r/>
          </w:p>
        </w:tc>
      </w:tr>
    </w:tbl>
    <w:tbl>
      <w:tblPr>
        <w:tblStyle w:val="477"/>
        <w:tblpPr w:horzAnchor="margin" w:tblpXSpec="left" w:vertAnchor="page" w:tblpY="5701" w:leftFromText="180" w:topFromText="0" w:rightFromText="180" w:bottomFromText="0"/>
        <w:tblW w:w="10173" w:type="dxa"/>
        <w:tblLook w:val="04A0" w:firstRow="1" w:lastRow="0" w:firstColumn="1" w:lastColumn="0" w:noHBand="0" w:noVBand="1"/>
      </w:tblPr>
      <w:tblGrid>
        <w:gridCol w:w="4928"/>
        <w:gridCol w:w="5245"/>
      </w:tblGrid>
      <w:tr>
        <w:trPr>
          <w:trHeight w:val="704"/>
        </w:trPr>
        <w:tc>
          <w:tcPr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инвестиционной площадки (местоположение)</w:t>
            </w:r>
            <w:r/>
          </w:p>
        </w:tc>
        <w:tc>
          <w:tcPr>
            <w:tcW w:w="5245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483"/>
                <w:rFonts w:ascii="Times New Roman" w:hAnsi="Times New Roman" w:cs="Times New Roman"/>
                <w:b w:val="false"/>
                <w:sz w:val="24"/>
                <w:szCs w:val="24"/>
              </w:rPr>
              <w:t xml:space="preserve">обл. Белгородская, р-н </w:t>
            </w:r>
            <w:r>
              <w:rPr>
                <w:rStyle w:val="483"/>
                <w:rFonts w:ascii="Times New Roman" w:hAnsi="Times New Roman" w:cs="Times New Roman"/>
                <w:b w:val="false"/>
                <w:sz w:val="24"/>
                <w:szCs w:val="24"/>
              </w:rPr>
              <w:t xml:space="preserve">Ровеньский</w:t>
            </w:r>
            <w:r>
              <w:rPr>
                <w:rStyle w:val="483"/>
                <w:rFonts w:ascii="Times New Roman" w:hAnsi="Times New Roman" w:cs="Times New Roman"/>
                <w:b w:val="false"/>
                <w:sz w:val="24"/>
                <w:szCs w:val="24"/>
              </w:rPr>
              <w:t xml:space="preserve">, х-во ОАО "</w:t>
            </w:r>
            <w:r>
              <w:rPr>
                <w:rStyle w:val="483"/>
                <w:rFonts w:ascii="Times New Roman" w:hAnsi="Times New Roman" w:cs="Times New Roman"/>
                <w:b w:val="false"/>
                <w:sz w:val="24"/>
                <w:szCs w:val="24"/>
              </w:rPr>
              <w:t xml:space="preserve">Агро-Родина</w:t>
            </w:r>
            <w:r>
              <w:rPr>
                <w:rStyle w:val="483"/>
                <w:rFonts w:ascii="Times New Roman" w:hAnsi="Times New Roman" w:cs="Times New Roman"/>
                <w:b w:val="false"/>
                <w:sz w:val="24"/>
                <w:szCs w:val="24"/>
              </w:rPr>
              <w:t xml:space="preserve">"  </w:t>
            </w:r>
            <w:r>
              <w:rPr>
                <w:rStyle w:val="483"/>
                <w:rFonts w:ascii="Times New Roman" w:hAnsi="Times New Roman" w:cs="Times New Roman"/>
                <w:b w:val="false"/>
                <w:sz w:val="24"/>
                <w:szCs w:val="24"/>
              </w:rPr>
              <w:t xml:space="preserve">( </w:t>
            </w:r>
            <w:r>
              <w:rPr>
                <w:rStyle w:val="483"/>
                <w:rFonts w:ascii="Times New Roman" w:hAnsi="Times New Roman" w:cs="Times New Roman"/>
                <w:b w:val="false"/>
                <w:sz w:val="24"/>
                <w:szCs w:val="24"/>
              </w:rPr>
              <w:t xml:space="preserve">СПК (колхоз) "Родина" )</w:t>
            </w:r>
            <w:r/>
          </w:p>
        </w:tc>
      </w:tr>
      <w:tr>
        <w:trPr>
          <w:trHeight w:val="429"/>
        </w:trPr>
        <w:tc>
          <w:tcPr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площадки, 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/>
          </w:p>
        </w:tc>
        <w:tc>
          <w:tcPr>
            <w:tcW w:w="5245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250 000</w:t>
            </w:r>
            <w:r/>
          </w:p>
        </w:tc>
      </w:tr>
      <w:tr>
        <w:trPr>
          <w:trHeight w:val="717"/>
        </w:trPr>
        <w:tc>
          <w:tcPr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правообладателе на земельный участок и объекты недвижимости</w:t>
            </w:r>
            <w:r/>
          </w:p>
        </w:tc>
        <w:tc>
          <w:tcPr>
            <w:tcW w:w="5245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11"/>
        </w:trPr>
        <w:tc>
          <w:tcPr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данные (Ф.И.О., должность, тел., факс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почты)</w:t>
            </w:r>
            <w:r/>
          </w:p>
        </w:tc>
        <w:tc>
          <w:tcPr>
            <w:tcW w:w="5245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Хлапонин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Анатольевич, глава администрации городского поселения «Посёлок Ровеньки»,  тел. 8(47238)5-54-51,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possovet@ro.belregion.ru</w:t>
            </w:r>
            <w:r/>
          </w:p>
        </w:tc>
      </w:tr>
      <w:tr>
        <w:trPr>
          <w:trHeight w:val="719"/>
        </w:trPr>
        <w:tc>
          <w:tcPr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параметры зданий и сооружений, расположенных на площадке</w:t>
            </w:r>
            <w:r/>
          </w:p>
        </w:tc>
        <w:tc>
          <w:tcPr>
            <w:tcW w:w="5245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</w:t>
            </w:r>
            <w:r/>
          </w:p>
        </w:tc>
      </w:tr>
      <w:tr>
        <w:trPr>
          <w:trHeight w:val="443"/>
        </w:trPr>
        <w:tc>
          <w:tcPr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права собственности</w:t>
            </w:r>
            <w:r/>
          </w:p>
        </w:tc>
        <w:tc>
          <w:tcPr>
            <w:tcW w:w="5245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собственность не разграничена</w:t>
            </w:r>
            <w:r/>
          </w:p>
        </w:tc>
      </w:tr>
      <w:tr>
        <w:trPr>
          <w:trHeight w:val="510"/>
        </w:trPr>
        <w:tc>
          <w:tcPr>
            <w:tcBorders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Удаленность:</w:t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ближайшего районного центра</w:t>
            </w:r>
            <w:r/>
          </w:p>
        </w:tc>
        <w:tc>
          <w:tcPr>
            <w:tcBorders>
              <w:bottom w:val="single" w:sz="4" w:space="0" w:color="auto"/>
            </w:tcBorders>
            <w:tcW w:w="5245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км, находится в границах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овеньки</w:t>
            </w:r>
            <w:r/>
          </w:p>
        </w:tc>
      </w:tr>
      <w:tr>
        <w:trPr>
          <w:trHeight w:val="326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аэропорта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Белгород – 260 км</w:t>
            </w:r>
            <w:r/>
          </w:p>
        </w:tc>
      </w:tr>
      <w:tr>
        <w:trPr>
          <w:trHeight w:val="444"/>
        </w:trPr>
        <w:tc>
          <w:tcPr>
            <w:tcBorders>
              <w:top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железнодорожных путей</w:t>
            </w:r>
            <w:r/>
          </w:p>
        </w:tc>
        <w:tc>
          <w:tcPr>
            <w:tcBorders>
              <w:top w:val="single" w:sz="4" w:space="0" w:color="auto"/>
            </w:tcBorders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оссошь – 76 км, г.Валуйки – 85 км</w:t>
            </w:r>
            <w:r/>
          </w:p>
        </w:tc>
      </w:tr>
      <w:tr>
        <w:trPr/>
        <w:tc>
          <w:tcPr>
            <w:tcBorders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автомобильных подъездных путей к площадке</w:t>
            </w:r>
            <w:r/>
          </w:p>
        </w:tc>
        <w:tc>
          <w:tcPr>
            <w:tcBorders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автодорога, покрытие – асфальт</w:t>
            </w:r>
            <w:r/>
          </w:p>
        </w:tc>
      </w:tr>
      <w:tr>
        <w:trPr>
          <w:trHeight w:val="465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Инфраструктура:</w:t>
            </w:r>
            <w:r/>
          </w:p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Газ, куб.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/час, давление, протяженность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(есть возможность подключения)</w:t>
            </w:r>
            <w:r/>
          </w:p>
        </w:tc>
      </w:tr>
      <w:tr>
        <w:trPr>
          <w:trHeight w:val="360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Электроэнергия, кВт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(есть возможность подключения)</w:t>
            </w:r>
            <w:r/>
          </w:p>
        </w:tc>
      </w:tr>
      <w:tr>
        <w:trPr>
          <w:trHeight w:val="225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Отопление Гкал/час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</w:t>
            </w:r>
            <w:r/>
          </w:p>
        </w:tc>
      </w:tr>
      <w:tr>
        <w:trPr>
          <w:trHeight w:val="225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Водоснабжение, куб.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/год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(есть возможность подключения)</w:t>
            </w:r>
            <w:r/>
          </w:p>
        </w:tc>
      </w:tr>
      <w:tr>
        <w:trPr>
          <w:trHeight w:val="240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Очистные сооружения, куб.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/год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(есть возможность подключения)</w:t>
            </w:r>
            <w:r/>
          </w:p>
        </w:tc>
      </w:tr>
      <w:tr>
        <w:trPr>
          <w:trHeight w:val="270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Котельные установки,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кВТ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</w:t>
            </w:r>
            <w:r/>
          </w:p>
        </w:tc>
      </w:tr>
      <w:tr>
        <w:trPr>
          <w:trHeight w:val="232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Иная имеющаяся инфраструктура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</w:t>
            </w:r>
            <w:r/>
          </w:p>
        </w:tc>
      </w:tr>
      <w:tr>
        <w:trPr/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Дополнительная информация 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Паспорт инвестиционной площадки (документ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docx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r/>
      <w:r/>
    </w:p>
    <w:p>
      <w:r/>
      <w:r/>
    </w:p>
    <w:p>
      <w:r/>
      <w:r/>
    </w:p>
    <w:p>
      <w:r/>
      <w:r/>
    </w:p>
    <w:tbl>
      <w:tblPr>
        <w:tblStyle w:val="477"/>
        <w:tblpPr w:horzAnchor="margin" w:tblpXSpec="left" w:vertAnchor="page" w:tblpY="1096" w:leftFromText="180" w:topFromText="0" w:rightFromText="180" w:bottomFromText="0"/>
        <w:tblW w:w="0" w:type="auto"/>
        <w:tblBorders>
          <w:left w:val="single" w:color="D9D9D9" w:sz="4" w:space="0" w:themeColor="background1" w:themeShade="D9"/>
          <w:top w:val="single" w:color="D9D9D9" w:sz="4" w:space="0" w:themeColor="background1" w:themeShade="D9"/>
          <w:right w:val="single" w:color="D9D9D9" w:sz="4" w:space="0" w:themeColor="background1" w:themeShade="D9"/>
          <w:bottom w:val="single" w:color="D9D9D9" w:sz="4" w:space="0" w:themeColor="background1" w:themeShade="D9"/>
          <w:insideV w:val="single" w:color="D9D9D9" w:sz="4" w:space="0" w:themeColor="background1" w:themeShade="D9"/>
          <w:insideH w:val="single" w:color="D9D9D9" w:sz="4" w:space="0" w:themeColor="background1" w:themeShade="D9"/>
        </w:tblBorders>
        <w:tblLook w:val="04A0" w:firstRow="1" w:lastRow="0" w:firstColumn="1" w:lastColumn="0" w:noHBand="0" w:noVBand="1"/>
      </w:tblPr>
      <w:tblGrid>
        <w:gridCol w:w="4215"/>
        <w:gridCol w:w="1849"/>
        <w:gridCol w:w="4215"/>
      </w:tblGrid>
      <w:tr>
        <w:trPr>
          <w:trHeight w:val="3533"/>
        </w:trPr>
        <w:tc>
          <w:tcPr>
            <w:tcW w:w="319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color w:val="BFBFB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26"/>
                <w:szCs w:val="2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520000" cy="1890279"/>
                      <wp:effectExtent l="19050" t="0" r="0" b="0"/>
                      <wp:docPr id="1" name="Рисунок 1" descr="D:\Мои файлы\Гонта Е.Л\Инвестиционный паспорт\Инвест площадки 2020\Фото Солонцы, Вишняки\фото СТФ сол 5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1" descr="D:\Мои файлы\Гонта Е.Л\Инвестиционный паспорт\Инвест площадки 2020\Фото Солонцы, Вишняки\фото СТФ сол 5.jpg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0" cy="18902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198.4pt;height:148.8pt;" strokeweight="0.75pt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</w:tc>
        <w:tc>
          <w:tcPr>
            <w:tcW w:w="319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color w:val="BFBFB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BFBFBF"/>
                <w:sz w:val="26"/>
                <w:szCs w:val="26"/>
              </w:rPr>
            </w:r>
            <w:r/>
          </w:p>
        </w:tc>
        <w:tc>
          <w:tcPr>
            <w:tcW w:w="37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color w:val="BFBFB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26"/>
                <w:szCs w:val="2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520000" cy="1890279"/>
                      <wp:effectExtent l="19050" t="0" r="0" b="0"/>
                      <wp:docPr id="2" name="Рисунок 2" descr="D:\Мои файлы\Гонта Е.Л\Инвестиционный паспорт\Инвест площадки 2020\Фото Солонцы, Вишняки\фото СТФвиш3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icture 2" descr="D:\Мои файлы\Гонта Е.Л\Инвестиционный паспорт\Инвест площадки 2020\Фото Солонцы, Вишняки\фото СТФвиш3.JPG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0" cy="18902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mso-wrap-distance-left:0.0pt;mso-wrap-distance-top:0.0pt;mso-wrap-distance-right:0.0pt;mso-wrap-distance-bottom:0.0pt;width:198.4pt;height:148.8pt;" strokeweight="0.75pt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/>
          </w:p>
        </w:tc>
      </w:tr>
    </w:tbl>
    <w:p>
      <w:r/>
      <w:r/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Схема расположения инвестиционной площадки</w:t>
      </w:r>
      <w:r/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/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Координаты:</w:t>
      </w:r>
      <w:r/>
    </w:p>
    <w:tbl>
      <w:tblPr>
        <w:tblStyle w:val="477"/>
        <w:tblpPr w:horzAnchor="margin" w:tblpXSpec="left" w:vertAnchor="text" w:tblpY="99" w:leftFromText="180" w:topFromText="0" w:rightFromText="180" w:bottomFromText="0"/>
        <w:tblW w:w="10173" w:type="dxa"/>
        <w:tblBorders>
          <w:left w:val="single" w:color="D9D9D9" w:sz="4" w:space="0" w:themeColor="background1" w:themeShade="D9"/>
          <w:top w:val="single" w:color="D9D9D9" w:sz="4" w:space="0" w:themeColor="background1" w:themeShade="D9"/>
          <w:right w:val="single" w:color="D9D9D9" w:sz="4" w:space="0" w:themeColor="background1" w:themeShade="D9"/>
          <w:bottom w:val="single" w:color="D9D9D9" w:sz="4" w:space="0" w:themeColor="background1" w:themeShade="D9"/>
          <w:insideV w:val="single" w:color="D9D9D9" w:sz="4" w:space="0" w:themeColor="background1" w:themeShade="D9"/>
          <w:insideH w:val="single" w:color="D9D9D9" w:sz="4" w:space="0" w:themeColor="background1" w:themeShade="D9"/>
        </w:tblBorders>
        <w:tblLook w:val="04A0" w:firstRow="1" w:lastRow="0" w:firstColumn="1" w:lastColumn="0" w:noHBand="0" w:noVBand="1"/>
      </w:tblPr>
      <w:tblGrid>
        <w:gridCol w:w="10173"/>
      </w:tblGrid>
      <w:tr>
        <w:trPr>
          <w:trHeight w:val="6027"/>
        </w:trPr>
        <w:tc>
          <w:tcPr>
            <w:tcW w:w="101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color w:val="808080"/>
                <w:sz w:val="26"/>
                <w:szCs w:val="2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867400" cy="4036806"/>
                      <wp:effectExtent l="19050" t="0" r="0" b="0"/>
                      <wp:docPr id="3" name="Рисунок 1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Рисунок 1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2"/>
                              <a:srcRect l="1869" t="12279" r="1478" b="417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72399" cy="40402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mso-wrap-distance-left:0.0pt;mso-wrap-distance-top:0.0pt;mso-wrap-distance-right:0.0pt;mso-wrap-distance-bottom:0.0pt;width:462.0pt;height:317.9pt;" strokeweight="0.75pt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/>
          </w:p>
          <w:p>
            <w:pPr>
              <w:jc w:val="center"/>
              <w:rPr>
                <w:rFonts w:ascii="Times New Roman" w:hAnsi="Times New Roman" w:cs="Times New Roman"/>
                <w:b/>
                <w:color w:val="80808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808080"/>
                <w:sz w:val="26"/>
                <w:szCs w:val="26"/>
              </w:rPr>
            </w:r>
            <w:r/>
          </w:p>
        </w:tc>
      </w:tr>
    </w:tbl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/>
    </w:p>
    <w:p>
      <w:pPr>
        <w:spacing w:lineRule="auto" w:line="240" w:after="0"/>
      </w:pPr>
      <w:r/>
      <w:r/>
    </w:p>
    <w:sectPr>
      <w:headerReference w:type="default" r:id="rId9"/>
      <w:footnotePr/>
      <w:endnotePr/>
      <w:type w:val="nextPage"/>
      <w:pgSz w:w="11906" w:h="16838" w:orient="portrait"/>
      <w:pgMar w:top="993" w:right="850" w:bottom="284" w:left="993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462425493"/>
      <w:docPartObj>
        <w:docPartGallery w:val="Page Numbers (Top of Page)"/>
        <w:docPartUnique w:val="true"/>
      </w:docPartObj>
      <w:rPr/>
    </w:sdtPr>
    <w:sdtContent>
      <w:p>
        <w:pPr>
          <w:pStyle w:val="47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479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76" w:after="20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473"/>
    <w:next w:val="473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474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473"/>
    <w:next w:val="473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474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473"/>
    <w:next w:val="473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474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473"/>
    <w:next w:val="473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474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473"/>
    <w:next w:val="473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474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473"/>
    <w:next w:val="473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474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473"/>
    <w:next w:val="473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474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473"/>
    <w:next w:val="473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474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473"/>
    <w:next w:val="473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474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473"/>
    <w:next w:val="473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474"/>
    <w:link w:val="32"/>
    <w:uiPriority w:val="10"/>
    <w:rPr>
      <w:sz w:val="48"/>
      <w:szCs w:val="48"/>
    </w:rPr>
  </w:style>
  <w:style w:type="paragraph" w:styleId="34">
    <w:name w:val="Subtitle"/>
    <w:basedOn w:val="473"/>
    <w:next w:val="473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474"/>
    <w:link w:val="34"/>
    <w:uiPriority w:val="11"/>
    <w:rPr>
      <w:sz w:val="24"/>
      <w:szCs w:val="24"/>
    </w:rPr>
  </w:style>
  <w:style w:type="paragraph" w:styleId="36">
    <w:name w:val="Quote"/>
    <w:basedOn w:val="473"/>
    <w:next w:val="473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473"/>
    <w:next w:val="473"/>
    <w:link w:val="39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474"/>
    <w:link w:val="479"/>
    <w:uiPriority w:val="99"/>
  </w:style>
  <w:style w:type="character" w:styleId="43">
    <w:name w:val="Footer Char"/>
    <w:basedOn w:val="474"/>
    <w:link w:val="481"/>
    <w:uiPriority w:val="99"/>
  </w:style>
  <w:style w:type="paragraph" w:styleId="44">
    <w:name w:val="Caption"/>
    <w:basedOn w:val="473"/>
    <w:next w:val="473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81"/>
    <w:uiPriority w:val="99"/>
  </w:style>
  <w:style w:type="table" w:styleId="47">
    <w:name w:val="Table Grid Light"/>
    <w:basedOn w:val="47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47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475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47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47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47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47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47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47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47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text1" w:themeFillTint="40"/>
    </w:tblPr>
    <w:tblStylePr w:type="band1Horz">
      <w:tcPr>
        <w:shd w:val="clear" w:color="auto" w:fill="FFFFFF" w:themeFill="text1" w:themeFillTint="75"/>
      </w:tcPr>
    </w:tblStylePr>
    <w:tblStylePr w:type="band1Vert">
      <w:tcPr>
        <w:shd w:val="clear" w:color="auto" w:fill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1" w:themeFillTint="34"/>
    </w:tblPr>
    <w:tblStylePr w:type="band1Horz">
      <w:tcPr>
        <w:shd w:val="clear" w:color="auto" w:fill="FFFFFF" w:themeFill="accent1" w:themeFillTint="75"/>
      </w:tcPr>
    </w:tblStylePr>
    <w:tblStylePr w:type="band1Vert">
      <w:tcPr>
        <w:shd w:val="clear" w:color="auto" w:fill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2" w:themeFillTint="32"/>
    </w:tblPr>
    <w:tblStylePr w:type="band1Horz">
      <w:tcPr>
        <w:shd w:val="clear" w:color="auto" w:fill="FFFFFF" w:themeFill="accent2" w:themeFillTint="75"/>
      </w:tcPr>
    </w:tblStylePr>
    <w:tblStylePr w:type="band1Vert">
      <w:tcPr>
        <w:shd w:val="clear" w:color="auto" w:fill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3" w:themeFillTint="34"/>
    </w:tblPr>
    <w:tblStylePr w:type="band1Horz">
      <w:tcPr>
        <w:shd w:val="clear" w:color="auto" w:fill="FFFFFF" w:themeFill="accent3" w:themeFillTint="75"/>
      </w:tcPr>
    </w:tblStylePr>
    <w:tblStylePr w:type="band1Vert">
      <w:tcPr>
        <w:shd w:val="clear" w:color="auto" w:fill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4" w:themeFillTint="34"/>
    </w:tblPr>
    <w:tblStylePr w:type="band1Horz">
      <w:tcPr>
        <w:shd w:val="clear" w:color="auto" w:fill="FFFFFF" w:themeFill="accent4" w:themeFillTint="75"/>
      </w:tcPr>
    </w:tblStylePr>
    <w:tblStylePr w:type="band1Vert">
      <w:tcPr>
        <w:shd w:val="clear" w:color="auto" w:fill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5" w:themeFillTint="34"/>
    </w:tblPr>
    <w:tblStylePr w:type="band1Horz">
      <w:tcPr>
        <w:shd w:val="clear" w:color="auto" w:fill="FFFFFF" w:themeFill="accent5" w:themeFillTint="75"/>
      </w:tcPr>
    </w:tblStylePr>
    <w:tblStylePr w:type="band1Vert">
      <w:tcPr>
        <w:shd w:val="clear" w:color="auto" w:fill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6" w:themeFillTint="34"/>
    </w:tblPr>
    <w:tblStylePr w:type="band1Horz">
      <w:tcPr>
        <w:shd w:val="clear" w:color="auto" w:fill="FFFFFF" w:themeFill="accent6" w:themeFillTint="75"/>
      </w:tcPr>
    </w:tblStylePr>
    <w:tblStylePr w:type="band1Vert">
      <w:tcPr>
        <w:shd w:val="clear" w:color="auto" w:fill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auto" w:fill="FFFFFF" w:themeFill="text1" w:themeFillTint="34"/>
      </w:tcPr>
    </w:tblStylePr>
    <w:tblStylePr w:type="band1Vert">
      <w:tcPr>
        <w:shd w:val="clear" w:color="auto" w:fill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auto" w:fill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auto" w:fill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auto" w:fill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auto" w:fill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auto" w:fill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auto" w:fill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auto" w:fill="FFFFFF" w:themeFill="text1" w:themeFillTint="80"/>
    </w:tblPr>
    <w:tblStylePr w:type="band1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auto" w:fill="FFFFFF" w:themeFill="accent1"/>
    </w:tblPr>
    <w:tblStylePr w:type="band1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auto" w:fill="FFFFFF" w:themeFill="accent2" w:themeFillTint="97"/>
    </w:tblPr>
    <w:tblStylePr w:type="band1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auto" w:fill="FFFFFF" w:themeFill="accent3" w:themeFillTint="98"/>
    </w:tblPr>
    <w:tblStylePr w:type="band1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auto" w:fill="FFFFFF" w:themeFill="accent4" w:themeFillTint="9A"/>
    </w:tblPr>
    <w:tblStylePr w:type="band1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auto" w:fill="FFFFFF" w:themeFill="accent5" w:themeFillTint="9A"/>
    </w:tblPr>
    <w:tblStylePr w:type="band1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auto" w:fill="FFFFFF" w:themeFill="accent6" w:themeFillTint="98"/>
    </w:tblPr>
    <w:tblStylePr w:type="band1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auto" w:fill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auto" w:fill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auto" w:fill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auto" w:fill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auto" w:fill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auto" w:fill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152">
    <w:name w:val="Lined - Accent 1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153">
    <w:name w:val="Lined - Accent 2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154">
    <w:name w:val="Lined - Accent 3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155">
    <w:name w:val="Lined - Accent 4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156">
    <w:name w:val="Lined - Accent 5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157">
    <w:name w:val="Lined - Accent 6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158">
    <w:name w:val="Bordered &amp; Lined - Accent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159">
    <w:name w:val="Bordered &amp; Lined - Accent 1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160">
    <w:name w:val="Bordered &amp; Lined - Accent 2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161">
    <w:name w:val="Bordered &amp; Lined - Accent 3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162">
    <w:name w:val="Bordered &amp; Lined - Accent 4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163">
    <w:name w:val="Bordered &amp; Lined - Accent 5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164">
    <w:name w:val="Bordered &amp; Lined - Accent 6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165">
    <w:name w:val="Bordered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473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474"/>
    <w:uiPriority w:val="99"/>
    <w:unhideWhenUsed/>
    <w:rPr>
      <w:vertAlign w:val="superscript"/>
    </w:rPr>
  </w:style>
  <w:style w:type="paragraph" w:styleId="176">
    <w:name w:val="endnote text"/>
    <w:basedOn w:val="473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474"/>
    <w:uiPriority w:val="99"/>
    <w:semiHidden/>
    <w:unhideWhenUsed/>
    <w:rPr>
      <w:vertAlign w:val="superscript"/>
    </w:rPr>
  </w:style>
  <w:style w:type="paragraph" w:styleId="179">
    <w:name w:val="toc 1"/>
    <w:basedOn w:val="473"/>
    <w:next w:val="473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473"/>
    <w:next w:val="473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473"/>
    <w:next w:val="473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473"/>
    <w:next w:val="473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473"/>
    <w:next w:val="473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473"/>
    <w:next w:val="473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473"/>
    <w:next w:val="473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473"/>
    <w:next w:val="473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473"/>
    <w:next w:val="473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473" w:default="1">
    <w:name w:val="Normal"/>
    <w:qFormat/>
    <w:rPr>
      <w:rFonts w:eastAsia="Calibri"/>
      <w:lang w:eastAsia="ru-RU"/>
    </w:rPr>
  </w:style>
  <w:style w:type="character" w:styleId="474" w:default="1">
    <w:name w:val="Default Paragraph Font"/>
    <w:uiPriority w:val="1"/>
    <w:semiHidden/>
    <w:unhideWhenUsed/>
  </w:style>
  <w:style w:type="table" w:styleId="475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76" w:default="1">
    <w:name w:val="No List"/>
    <w:uiPriority w:val="99"/>
    <w:semiHidden/>
    <w:unhideWhenUsed/>
  </w:style>
  <w:style w:type="table" w:styleId="477">
    <w:name w:val="Table Grid"/>
    <w:basedOn w:val="475"/>
    <w:uiPriority w:val="59"/>
    <w:rPr>
      <w:rFonts w:eastAsia="Calibri"/>
      <w:lang w:eastAsia="ru-RU"/>
    </w:rPr>
    <w:pPr>
      <w:spacing w:lineRule="auto" w:line="240" w:after="0"/>
    </w:pPr>
    <w:tblPr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V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478">
    <w:name w:val="List Paragraph"/>
    <w:basedOn w:val="473"/>
    <w:qFormat/>
    <w:uiPriority w:val="34"/>
    <w:pPr>
      <w:contextualSpacing w:val="true"/>
      <w:ind w:left="720"/>
    </w:pPr>
  </w:style>
  <w:style w:type="paragraph" w:styleId="479">
    <w:name w:val="Header"/>
    <w:basedOn w:val="473"/>
    <w:link w:val="480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480" w:customStyle="1">
    <w:name w:val="Верхний колонтитул Знак"/>
    <w:basedOn w:val="474"/>
    <w:link w:val="479"/>
    <w:uiPriority w:val="99"/>
    <w:rPr>
      <w:rFonts w:eastAsia="Calibri"/>
      <w:lang w:eastAsia="ru-RU"/>
    </w:rPr>
  </w:style>
  <w:style w:type="paragraph" w:styleId="481">
    <w:name w:val="Footer"/>
    <w:basedOn w:val="473"/>
    <w:link w:val="48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482" w:customStyle="1">
    <w:name w:val="Нижний колонтитул Знак"/>
    <w:basedOn w:val="474"/>
    <w:link w:val="481"/>
    <w:uiPriority w:val="99"/>
    <w:rPr>
      <w:rFonts w:eastAsia="Calibri"/>
      <w:lang w:eastAsia="ru-RU"/>
    </w:rPr>
  </w:style>
  <w:style w:type="character" w:styleId="483">
    <w:name w:val="Strong"/>
    <w:qFormat/>
    <w:uiPriority w:val="22"/>
    <w:rPr>
      <w:b/>
      <w:bCs/>
    </w:rPr>
  </w:style>
  <w:style w:type="paragraph" w:styleId="484">
    <w:name w:val="Balloon Text"/>
    <w:basedOn w:val="473"/>
    <w:link w:val="485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485" w:customStyle="1">
    <w:name w:val="Текст выноски Знак"/>
    <w:basedOn w:val="474"/>
    <w:link w:val="484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Масаева Виктория  Николаевна</dc:creator>
  <cp:revision>10</cp:revision>
  <dcterms:created xsi:type="dcterms:W3CDTF">2020-01-17T11:15:00Z</dcterms:created>
  <dcterms:modified xsi:type="dcterms:W3CDTF">2023-09-28T13:46:19Z</dcterms:modified>
</cp:coreProperties>
</file>