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32"/>
          <w:highlight w:val="white"/>
        </w:rPr>
        <w:t>Р О С С И Й С К А Я   Ф Е Д Е Р А Ц И Я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32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32"/>
          <w:highlight w:val="white"/>
        </w:rPr>
        <w:t>Б Е Л Г О Р О Д С К А Я    О Б Л А С Т 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16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16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/>
        <w:drawing>
          <wp:inline distT="0" distB="0" distL="0" distR="0">
            <wp:extent cx="572135" cy="7816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" t="-22" r="-65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16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16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МУНИЦИПАЛЬНЫЙ СОВЕТ МУНИЦИПАЛЬНОГО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«РОВЕНЬСКИЙ РАЙОН»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ТРЕТЬЕГО СОЗЫВА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Р Е Ш Е Н И Е               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highlight w:val="white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  <w:t>___ ________ 2023 г.</w:t>
      </w:r>
      <w:r>
        <w:rPr>
          <w:rFonts w:eastAsia="Times New Roman" w:cs="Times New Roman" w:ascii="Times New Roman" w:hAnsi="Times New Roman"/>
          <w:b/>
          <w:sz w:val="28"/>
          <w:highlight w:val="white"/>
        </w:rPr>
        <w:t xml:space="preserve">             </w:t>
        <w:tab/>
        <w:tab/>
        <w:t xml:space="preserve">                                                        №</w:t>
      </w:r>
      <w:r>
        <w:rPr>
          <w:rFonts w:eastAsia="Times New Roman" w:cs="Times New Roman" w:ascii="Times New Roman" w:hAnsi="Times New Roman"/>
          <w:sz w:val="28"/>
          <w:highlight w:val="white"/>
        </w:rPr>
        <w:t>__/___</w:t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highlight w:val="white"/>
        </w:rPr>
      </w:r>
    </w:p>
    <w:tbl>
      <w:tblPr>
        <w:tblW w:w="521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</w:tblGrid>
      <w:tr>
        <w:trPr>
          <w:trHeight w:val="1356" w:hRule="atLeast"/>
        </w:trPr>
        <w:tc>
          <w:tcPr>
            <w:tcW w:w="5211" w:type="dxa"/>
            <w:tcBorders/>
          </w:tcPr>
          <w:p>
            <w:pPr>
              <w:pStyle w:val="Style12"/>
              <w:widowControl w:val="false"/>
              <w:spacing w:lineRule="exact" w:line="283" w:before="0" w:after="14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highlight w:val="white"/>
              </w:rPr>
              <w:t>О внесении изменений в решение Муниципального совета Ровеньского района от 20 августа 2021 года №39/296 «Об утверждении Положения о муниципальном контроле на автомобильном транспорте и в дорожном хозяйстве на территории Ровеньского района»</w:t>
            </w:r>
            <w:r>
              <w:rPr>
                <w:rFonts w:eastAsia="Times New Roman" w:cs="Times New Roman" w:ascii="Times New Roman" w:hAnsi="Times New Roman"/>
                <w:b/>
                <w:sz w:val="28"/>
                <w:highlight w:val="white"/>
              </w:rPr>
              <w:t xml:space="preserve">  </w:t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2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2"/>
          <w:highlight w:val="white"/>
        </w:rPr>
      </w:r>
    </w:p>
    <w:p>
      <w:pPr>
        <w:pStyle w:val="Style12"/>
        <w:spacing w:lineRule="exact" w:line="283" w:before="0" w:after="140"/>
        <w:ind w:left="0" w:right="0" w:firstLine="567"/>
        <w:contextualSpacing/>
        <w:jc w:val="both"/>
        <w:rPr>
          <w:rFonts w:ascii="Times New Roman" w:hAnsi="Times New Roman" w:eastAsia="Times New Roman" w:cs="Times New Roman"/>
          <w:b/>
          <w:sz w:val="28"/>
          <w:szCs w:val="26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6"/>
          <w:highlight w:val="white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6"/>
          <w:highlight w:val="white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июня 2020 года №248-ФЗ «О государственном контроле (надзоре) и муниципальном контроле в Российской Федерации», Федеральным законом от 8 ноября 2007 года №237-ФЗ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района «Ровеньский район» Муниципальный совет Ровеньского района </w:t>
      </w:r>
      <w:r>
        <w:rPr>
          <w:rFonts w:eastAsia="Times New Roman" w:cs="Times New Roman" w:ascii="Times New Roman" w:hAnsi="Times New Roman"/>
          <w:b/>
          <w:sz w:val="28"/>
          <w:szCs w:val="26"/>
          <w:highlight w:val="white"/>
        </w:rPr>
        <w:t>р е ш и л:</w:t>
      </w:r>
    </w:p>
    <w:p>
      <w:pPr>
        <w:pStyle w:val="Style12"/>
        <w:numPr>
          <w:ilvl w:val="0"/>
          <w:numId w:val="1"/>
        </w:numPr>
        <w:tabs>
          <w:tab w:val="clear" w:pos="709"/>
          <w:tab w:val="left" w:pos="1020" w:leader="none"/>
        </w:tabs>
        <w:spacing w:lineRule="exact" w:line="283" w:before="0" w:after="140"/>
        <w:ind w:left="0" w:righ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Внести изменения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Положение о муниципальном контроле на автомобильном транспорте и в дорожном хозяйстве на территории Ровеньского района, утвержденное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решением Муниципального совета Ровеньского района от 20 августа 2021 года №39/296 «Об утверждении Положения о муниципальном контроле на автомобильном транспорте и в дорожном хозяйстве на территории Ровеньского района», изложив приложение № 1 к Положению в новой редакции (прилагается).</w:t>
      </w:r>
    </w:p>
    <w:p>
      <w:pPr>
        <w:pStyle w:val="Style12"/>
        <w:numPr>
          <w:ilvl w:val="0"/>
          <w:numId w:val="1"/>
        </w:numPr>
        <w:tabs>
          <w:tab w:val="clear" w:pos="709"/>
          <w:tab w:val="left" w:pos="1020" w:leader="none"/>
        </w:tabs>
        <w:spacing w:lineRule="exact" w:line="283" w:before="0" w:after="140"/>
        <w:ind w:left="0" w:righ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Контроль за исполнением данного решения возложить на администрацию Ровеньского района (Киричкова Т.В.).</w:t>
      </w:r>
    </w:p>
    <w:p>
      <w:pPr>
        <w:pStyle w:val="Style12"/>
        <w:numPr>
          <w:ilvl w:val="0"/>
          <w:numId w:val="1"/>
        </w:numPr>
        <w:tabs>
          <w:tab w:val="clear" w:pos="709"/>
          <w:tab w:val="left" w:pos="1020" w:leader="none"/>
        </w:tabs>
        <w:spacing w:lineRule="exact" w:line="283" w:before="0" w:after="140"/>
        <w:ind w:left="0" w:righ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Решение подлежит опубликованию в порядке, предусмотренном Уставом муниципального района «Ровеньский район» Белгородской области. </w:t>
      </w:r>
    </w:p>
    <w:p>
      <w:pPr>
        <w:pStyle w:val="Normal"/>
        <w:spacing w:lineRule="exact" w:line="283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 xml:space="preserve">Председатель Муниципального совета </w:t>
      </w:r>
    </w:p>
    <w:p>
      <w:pPr>
        <w:pStyle w:val="Normal"/>
        <w:spacing w:lineRule="exact" w:line="283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ab/>
        <w:t xml:space="preserve">    Ровеньского района                                                            В.А. Некрасов</w:t>
      </w:r>
    </w:p>
    <w:p>
      <w:pPr>
        <w:pStyle w:val="ConsPlusNormal"/>
        <w:jc w:val="right"/>
        <w:rPr/>
      </w:pPr>
      <w:r>
        <w:rPr>
          <w:rFonts w:eastAsia="Times New Roman" w:cs="Times New Roman"/>
          <w:sz w:val="28"/>
          <w:szCs w:val="28"/>
        </w:rPr>
        <w:t>Приложение № 1</w:t>
      </w:r>
    </w:p>
    <w:p>
      <w:pPr>
        <w:pStyle w:val="ConsPlusNormal"/>
        <w:jc w:val="right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/>
          <w:sz w:val="28"/>
          <w:szCs w:val="28"/>
        </w:rPr>
        <w:t>к Положению о муниципальном контроле</w:t>
      </w:r>
    </w:p>
    <w:p>
      <w:pPr>
        <w:pStyle w:val="ConsPlusNormal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на автомобильном транспорте </w:t>
      </w:r>
    </w:p>
    <w:p>
      <w:pPr>
        <w:pStyle w:val="ConsPlusNormal"/>
        <w:jc w:val="righ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/>
          <w:sz w:val="28"/>
          <w:szCs w:val="28"/>
        </w:rPr>
        <w:t xml:space="preserve">и в дорожном хозяйстве </w:t>
      </w:r>
    </w:p>
    <w:p>
      <w:pPr>
        <w:pStyle w:val="ConsPlusNormal"/>
        <w:jc w:val="right"/>
        <w:rPr/>
      </w:pPr>
      <w:r>
        <w:rPr>
          <w:rFonts w:eastAsia="Times New Roman" w:cs="Times New Roman"/>
          <w:sz w:val="28"/>
          <w:szCs w:val="28"/>
        </w:rPr>
        <w:t xml:space="preserve">на территории Ровеньского района </w:t>
      </w:r>
    </w:p>
    <w:p>
      <w:pPr>
        <w:pStyle w:val="ConsPlusNormal"/>
        <w:jc w:val="right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eastAsia="Times New Roman" w:cs="Times New Roman"/>
          <w:sz w:val="28"/>
          <w:highlight w:val="white"/>
          <w:shd w:fill="FFFF00" w:val="clear"/>
        </w:rPr>
      </w:pPr>
      <w:r>
        <w:rPr>
          <w:rFonts w:eastAsia="Times New Roman" w:cs="Times New Roman"/>
          <w:sz w:val="28"/>
          <w:highlight w:val="white"/>
          <w:shd w:fill="FFFF00" w:val="clear"/>
        </w:rPr>
      </w:r>
    </w:p>
    <w:p>
      <w:pPr>
        <w:pStyle w:val="Normal"/>
        <w:shd w:val="nil" w:color="auto"/>
        <w:spacing w:lineRule="exact" w:line="283" w:before="0" w:after="0"/>
        <w:ind w:left="0" w:right="0" w:firstLine="709"/>
        <w:contextualSpacing/>
        <w:jc w:val="center"/>
        <w:rPr>
          <w:rFonts w:ascii="Times New Roman" w:hAnsi="Times New Roman" w:eastAsia="Times New Roman" w:cs="Times New Roman"/>
          <w:sz w:val="28"/>
          <w:highlight w:val="white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  <w:t xml:space="preserve">Перечень индикаторов риска </w:t>
      </w:r>
    </w:p>
    <w:p>
      <w:pPr>
        <w:pStyle w:val="Normal"/>
        <w:shd w:val="clear" w:color="FFFFFF" w:themeColor="background1" w:fill="FFFFFF" w:themeFill="background1"/>
        <w:spacing w:lineRule="exact" w:line="283" w:before="0" w:after="0"/>
        <w:ind w:left="0" w:right="0" w:firstLine="709"/>
        <w:contextualSpacing/>
        <w:jc w:val="center"/>
        <w:rPr>
          <w:rFonts w:ascii="Times New Roman" w:hAnsi="Times New Roman" w:eastAsia="Times New Roman" w:cs="Times New Roman"/>
          <w:sz w:val="28"/>
          <w:highlight w:val="none"/>
          <w:shd w:fill="FFFF00" w:val="clear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eastAsia="Times New Roman" w:cs="Times New Roman" w:ascii="Times New Roman" w:hAnsi="Times New Roman"/>
          <w:sz w:val="28"/>
        </w:rPr>
        <w:t xml:space="preserve"> на автомобильном транспорте и в </w:t>
      </w:r>
      <w:r>
        <w:rPr>
          <w:rFonts w:eastAsia="Times New Roman" w:cs="Times New Roman" w:ascii="Times New Roman" w:hAnsi="Times New Roman"/>
          <w:sz w:val="28"/>
          <w:highlight w:val="white"/>
        </w:rPr>
        <w:t>дорожном хозяйстве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территории Ровеньского района </w:t>
      </w:r>
    </w:p>
    <w:p>
      <w:pPr>
        <w:pStyle w:val="Normal"/>
        <w:shd w:val="clear" w:color="FFFFFF" w:themeColor="background1" w:fill="FFFFFF" w:themeFill="background1"/>
        <w:spacing w:lineRule="exact" w:line="283" w:before="0" w:after="0"/>
        <w:ind w:left="0" w:right="0" w:firstLine="709"/>
        <w:contextualSpacing/>
        <w:jc w:val="center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</w:rPr>
        <w:t>(новая редакция)</w:t>
      </w:r>
    </w:p>
    <w:p>
      <w:pPr>
        <w:pStyle w:val="Normal"/>
        <w:jc w:val="center"/>
        <w:rPr>
          <w:highlight w:val="white"/>
          <w:shd w:fill="FFFF00" w:val="clear"/>
        </w:rPr>
      </w:pPr>
      <w:r>
        <w:rPr>
          <w:highlight w:val="white"/>
          <w:shd w:fill="FFFF00" w:val="clear"/>
        </w:rPr>
      </w:r>
    </w:p>
    <w:p>
      <w:pPr>
        <w:pStyle w:val="ListParagraph"/>
        <w:numPr>
          <w:ilvl w:val="0"/>
          <w:numId w:val="2"/>
        </w:numPr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Arial" w:ascii="Times New Roman" w:hAnsi="Times New Roman" w:eastAsiaTheme="minorHAnsi"/>
          <w:bCs/>
          <w:sz w:val="28"/>
          <w:szCs w:val="28"/>
          <w:lang w:eastAsia="en-US"/>
        </w:rPr>
        <w:t>Поступление от трёх и более обращений</w:t>
      </w:r>
      <w:r>
        <w:rPr>
          <w:rFonts w:eastAsia="Arial" w:cs="Times New Roman" w:ascii="Times New Roman" w:hAnsi="Times New Roman" w:eastAsiaTheme="minorHAnsi"/>
          <w:sz w:val="28"/>
          <w:szCs w:val="28"/>
        </w:rPr>
        <w:t>, поступивших в орган муниципального контроля способом, позволяющим</w:t>
      </w:r>
      <w:r>
        <w:rPr>
          <w:rFonts w:eastAsia="Arial" w:cs="Times New Roman" w:ascii="Times New Roman" w:hAnsi="Times New Roman" w:eastAsiaTheme="minorHAnsi"/>
          <w:sz w:val="28"/>
          <w:szCs w:val="28"/>
          <w:highlight w:val="white"/>
        </w:rPr>
        <w:t xml:space="preserve">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факте нарушения обязательных требований</w:t>
      </w:r>
      <w:r>
        <w:rPr>
          <w:rFonts w:eastAsia="Arial" w:cs="Times New Roman" w:ascii="Times New Roman" w:hAnsi="Times New Roman" w:eastAsiaTheme="minorHAnsi"/>
          <w:sz w:val="28"/>
          <w:szCs w:val="28"/>
        </w:rPr>
        <w:t>:</w:t>
      </w:r>
    </w:p>
    <w:p>
      <w:pPr>
        <w:pStyle w:val="Normal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Arial" w:cs="Times New Roman" w:ascii="Times New Roman" w:hAnsi="Times New Roman" w:eastAsiaTheme="minorHAnsi"/>
          <w:sz w:val="28"/>
          <w:szCs w:val="28"/>
          <w:highlight w:val="white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 общего пользования Ровеньского района Белгородской области;</w:t>
      </w:r>
    </w:p>
    <w:p>
      <w:pPr>
        <w:pStyle w:val="Normal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Arial" w:cs="Times New Roman" w:ascii="Times New Roman" w:hAnsi="Times New Roman" w:eastAsiaTheme="minorHAnsi"/>
          <w:sz w:val="28"/>
          <w:szCs w:val="28"/>
        </w:rPr>
        <w:t>б</w:t>
      </w:r>
      <w:r>
        <w:rPr>
          <w:rFonts w:eastAsia="Arial" w:cs="Times New Roman" w:ascii="Times New Roman" w:hAnsi="Times New Roman" w:eastAsiaTheme="minorHAnsi"/>
          <w:sz w:val="28"/>
          <w:szCs w:val="28"/>
          <w:highlight w:val="white"/>
        </w:rPr>
        <w:t>) к осуществлению работ по капитальному ремонту, ремонту и содержанию автомобильных дорог местного значения общего пользования Ровеньского района Белгородской области и искусственных дорожных сооружений на них (включал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Arial" w:cs="Times New Roman" w:ascii="Times New Roman" w:hAnsi="Times New Roman" w:eastAsiaTheme="minorHAnsi"/>
          <w:sz w:val="28"/>
          <w:szCs w:val="28"/>
          <w:highlight w:val="white"/>
        </w:rPr>
        <w:t>в) к оборудованию остановочных пунктов предназначенных для обслуживания пассажиров муниципальных маршрутов регулярных перевозок на автомобильных дорогах общего пользования местного значения Ровеньского района Белгородской области;</w:t>
      </w:r>
    </w:p>
    <w:p>
      <w:pPr>
        <w:pStyle w:val="Normal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Arial" w:cs="Times New Roman" w:ascii="Times New Roman" w:hAnsi="Times New Roman" w:eastAsiaTheme="minorHAnsi"/>
          <w:sz w:val="28"/>
          <w:szCs w:val="28"/>
          <w:highlight w:val="white"/>
        </w:rPr>
        <w:t>г) к деятельности контролируемых лиц, осуществляющих перевозки пассажиров по муниципальным маршрутам регулярных перевозок Ровеньского района Белгородской области.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shd w:val="clear" w:color="FFFFFF" w:themeColor="background1" w:fill="FFFFFF" w:themeFill="background1"/>
        <w:tabs>
          <w:tab w:val="clear" w:pos="709"/>
          <w:tab w:val="left" w:pos="1980" w:leader="none"/>
        </w:tabs>
        <w:ind w:left="0" w:right="0" w:firstLine="567"/>
        <w:jc w:val="both"/>
        <w:rPr>
          <w:rFonts w:ascii="Times New Roman" w:hAnsi="Times New Roman" w:eastAsia="Times New Roman" w:cs="Times New Roman"/>
          <w:color w:val="C00000"/>
          <w:sz w:val="28"/>
          <w:highlight w:val="white"/>
        </w:rPr>
      </w:pPr>
      <w:r>
        <w:rPr>
          <w:rFonts w:eastAsia="Times New Roman" w:cs="Times New Roman" w:ascii="Times New Roman" w:hAnsi="Times New Roman"/>
          <w:color w:val="C00000"/>
          <w:sz w:val="28"/>
          <w:highlight w:val="white"/>
        </w:rPr>
      </w:r>
    </w:p>
    <w:p>
      <w:pPr>
        <w:pStyle w:val="Normal"/>
        <w:shd w:val="clear" w:color="FFFFFF" w:themeColor="background1" w:fill="FFFFFF" w:themeFill="background1"/>
        <w:tabs>
          <w:tab w:val="clear" w:pos="709"/>
          <w:tab w:val="left" w:pos="732" w:leader="none"/>
          <w:tab w:val="left" w:pos="1567" w:leader="none"/>
          <w:tab w:val="left" w:pos="1603" w:leader="none"/>
          <w:tab w:val="left" w:pos="1759" w:leader="none"/>
          <w:tab w:val="left" w:pos="2015" w:leader="none"/>
          <w:tab w:val="left" w:pos="2097" w:leader="none"/>
          <w:tab w:val="left" w:pos="3084" w:leader="none"/>
          <w:tab w:val="left" w:pos="4185" w:leader="none"/>
          <w:tab w:val="left" w:pos="5537" w:leader="none"/>
          <w:tab w:val="left" w:pos="5932" w:leader="none"/>
          <w:tab w:val="left" w:pos="7264" w:leader="none"/>
          <w:tab w:val="left" w:pos="7570" w:leader="none"/>
          <w:tab w:val="left" w:pos="9279" w:leader="none"/>
          <w:tab w:val="left" w:pos="10074" w:leader="none"/>
        </w:tabs>
        <w:ind w:left="0" w:right="0" w:firstLine="567"/>
        <w:jc w:val="center"/>
        <w:rPr>
          <w:rFonts w:ascii="Times New Roman" w:hAnsi="Times New Roman" w:eastAsia="Times New Roman" w:cs="Times New Roman"/>
          <w:sz w:val="28"/>
          <w:highlight w:val="white"/>
        </w:rPr>
      </w:pPr>
      <w:r>
        <w:rPr/>
      </w:r>
    </w:p>
    <w:sectPr>
      <w:type w:val="nextPage"/>
      <w:pgSz w:w="11906" w:h="16838"/>
      <w:pgMar w:left="1440" w:right="617" w:gutter="0" w:header="0" w:top="825" w:footer="0" w:bottom="9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-">
    <w:name w:val="Hyperlink"/>
    <w:uiPriority w:val="99"/>
    <w:unhideWhenUsed/>
    <w:rPr>
      <w:color w:val="000080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9">
    <w:name w:val="Символ нумерации"/>
    <w:qFormat/>
    <w:rPr/>
  </w:style>
  <w:style w:type="character" w:styleId="Style10">
    <w:name w:val="Выделение жирным"/>
    <w:qFormat/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1"/>
    <w:pPr/>
    <w:rPr/>
  </w:style>
  <w:style w:type="paragraph" w:styleId="Style25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spacing w:before="0" w:after="89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color w:val="auto"/>
      <w:lang w:val="ru-RU" w:eastAsia="ru-RU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48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9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0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1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5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5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/>
      </w:tcPr>
    </w:tblStylePr>
  </w:style>
  <w:style w:type="table" w:styleId="65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6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/>
      </w:tcPr>
    </w:tblStylePr>
  </w:style>
  <w:style w:type="table" w:styleId="67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7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7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7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8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8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8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8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text1" w:themeFillTint="75"/>
      </w:tcPr>
    </w:tblStylePr>
    <w:tblStylePr w:type="band1Vert">
      <w:tblPr/>
      <w:tcPr>
        <w:shd w:val="clear" w:color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text1"/>
      </w:tcPr>
    </w:tblStylePr>
  </w:style>
  <w:style w:type="table" w:styleId="68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1" w:themeFillTint="75"/>
      </w:tcPr>
    </w:tblStylePr>
    <w:tblStylePr w:type="band1Vert">
      <w:tblPr/>
      <w:tcPr>
        <w:shd w:val="clear" w:color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1"/>
      </w:tcPr>
    </w:tblStylePr>
  </w:style>
  <w:style w:type="table" w:styleId="68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2" w:themeFillTint="75"/>
      </w:tcPr>
    </w:tblStylePr>
    <w:tblStylePr w:type="band1Vert">
      <w:tblPr/>
      <w:tcPr>
        <w:shd w:val="clear" w:color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2"/>
      </w:tcPr>
    </w:tblStylePr>
  </w:style>
  <w:style w:type="table" w:styleId="68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3" w:themeFillTint="75"/>
      </w:tcPr>
    </w:tblStylePr>
    <w:tblStylePr w:type="band1Vert">
      <w:tblPr/>
      <w:tcPr>
        <w:shd w:val="clear" w:color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3"/>
      </w:tcPr>
    </w:tblStylePr>
  </w:style>
  <w:style w:type="table" w:styleId="68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4" w:themeFillTint="75"/>
      </w:tcPr>
    </w:tblStylePr>
    <w:tblStylePr w:type="band1Vert">
      <w:tblPr/>
      <w:tcPr>
        <w:shd w:val="clear" w:color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4"/>
      </w:tcPr>
    </w:tblStylePr>
  </w:style>
  <w:style w:type="table" w:styleId="68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5" w:themeFillTint="75"/>
      </w:tcPr>
    </w:tblStylePr>
    <w:tblStylePr w:type="band1Vert">
      <w:tblPr/>
      <w:tcPr>
        <w:shd w:val="clear" w:color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5"/>
      </w:tcPr>
    </w:tblStylePr>
  </w:style>
  <w:style w:type="table" w:styleId="68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themeFill="accent6" w:themeFillTint="75"/>
      </w:tcPr>
    </w:tblStylePr>
    <w:tblStylePr w:type="band1Vert">
      <w:tblPr/>
      <w:tcPr>
        <w:shd w:val="clear" w:color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themeFill="accent6"/>
      </w:tcPr>
    </w:tblStylePr>
  </w:style>
  <w:style w:type="table" w:styleId="69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themeFill="text1" w:themeFillTint="34"/>
      </w:tcPr>
    </w:tblStylePr>
    <w:tblStylePr w:type="band1Vert">
      <w:tblPr/>
      <w:tcPr>
        <w:shd w:val="clear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9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9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9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9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9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d"/>
      </w:tcPr>
    </w:tblStylePr>
    <w:tblStylePr w:type="band1Vert">
      <w:tblPr/>
      <w:tcPr>
        <w:shd w:val="clear" w:color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9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themeFill="accent1" w:themeFillTint="34"/>
      </w:tcPr>
    </w:tblStylePr>
    <w:tblStylePr w:type="band1Vert">
      <w:tblPr/>
      <w:tcPr>
        <w:shd w:val="clear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69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32"/>
      </w:tcPr>
    </w:tblStylePr>
    <w:tblStylePr w:type="band1Vert">
      <w:tblPr/>
      <w:tcPr>
        <w:shd w:val="clear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0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themeFill="accent3" w:themeFillTint="34"/>
      </w:tcPr>
    </w:tblStylePr>
    <w:tblStylePr w:type="band1Vert">
      <w:tblPr/>
      <w:tcPr>
        <w:shd w:val="clear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0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34"/>
      </w:tcPr>
    </w:tblStylePr>
    <w:tblStylePr w:type="band1Vert">
      <w:tblPr/>
      <w:tcPr>
        <w:shd w:val="clear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0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themeFill="accent5" w:themeFillTint="34"/>
      </w:tcPr>
    </w:tblStylePr>
    <w:tblStylePr w:type="band1Vert">
      <w:tblPr/>
      <w:tcPr>
        <w:shd w:val="clear" w:color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0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themeFill="accent6" w:themeFillTint="34"/>
      </w:tcPr>
    </w:tblStylePr>
    <w:tblStylePr w:type="band1Vert">
      <w:tblPr/>
      <w:tcPr>
        <w:shd w:val="clear" w:color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</w:style>
  <w:style w:type="table" w:styleId="70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1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1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1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1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1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1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1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4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4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4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4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4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4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4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themeFill="text1" w:themeFillTint="40"/>
      </w:tcPr>
    </w:tblStylePr>
    <w:tblStylePr w:type="band1Vert">
      <w:tblPr/>
      <w:tcPr>
        <w:shd w:val="clear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4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themeFill="accent1" w:themeFillTint="40"/>
      </w:tcPr>
    </w:tblStylePr>
    <w:tblStylePr w:type="band1Vert">
      <w:tblPr/>
      <w:tcPr>
        <w:shd w:val="clear" w:color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4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themeFill="accent2" w:themeFillTint="40"/>
      </w:tcPr>
    </w:tblStylePr>
    <w:tblStylePr w:type="band1Vert">
      <w:tblPr/>
      <w:tcPr>
        <w:shd w:val="clear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4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themeFill="accent3" w:themeFillTint="40"/>
      </w:tcPr>
    </w:tblStylePr>
    <w:tblStylePr w:type="band1Vert">
      <w:tblPr/>
      <w:tcPr>
        <w:shd w:val="clear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5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themeFill="accent4" w:themeFillTint="40"/>
      </w:tcPr>
    </w:tblStylePr>
    <w:tblStylePr w:type="band1Vert">
      <w:tblPr/>
      <w:tcPr>
        <w:shd w:val="clear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5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themeFill="accent5" w:themeFillTint="40"/>
      </w:tcPr>
    </w:tblStylePr>
    <w:tblStylePr w:type="band1Vert">
      <w:tblPr/>
      <w:tcPr>
        <w:shd w:val="clear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5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themeFill="accent6" w:themeFillTint="40"/>
      </w:tcPr>
    </w:tblStylePr>
    <w:tblStylePr w:type="band1Vert">
      <w:tblPr/>
      <w:tcPr>
        <w:shd w:val="clear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5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5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5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5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5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5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5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6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themeFill="text1" w:themeFillTint="80"/>
      </w:tcPr>
    </w:tblStylePr>
  </w:style>
  <w:style w:type="table" w:styleId="76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themeFill="accent1" w:themeFillTint="ea"/>
      </w:tcPr>
    </w:tblStylePr>
  </w:style>
  <w:style w:type="table" w:styleId="76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themeFill="accent2" w:themeFillTint="97"/>
      </w:tcPr>
    </w:tblStylePr>
  </w:style>
  <w:style w:type="table" w:styleId="76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themeFill="accent3" w:themeFillTint="fe"/>
      </w:tcPr>
    </w:tblStylePr>
  </w:style>
  <w:style w:type="table" w:styleId="76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themeFill="accent4" w:themeFillTint="9a"/>
      </w:tcPr>
    </w:tblStylePr>
  </w:style>
  <w:style w:type="table" w:styleId="76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5"/>
      </w:tcPr>
    </w:tblStylePr>
    <w:tblStylePr w:type="firstRow">
      <w:rPr>
        <w:color w:val="F2F2F2"/>
        <w:sz w:val="22"/>
      </w:rPr>
      <w:tblPr/>
      <w:tcPr>
        <w:shd w:val="clear" w:color="FFFFFF" w:themeFill="accent5"/>
      </w:tcPr>
    </w:tblStylePr>
    <w:tblStylePr w:type="lastCol">
      <w:rPr>
        <w:color w:val="F2F2F2"/>
        <w:sz w:val="22"/>
      </w:rPr>
      <w:tblPr/>
      <w:tcPr>
        <w:shd w:val="clear" w:color="FFFFFF" w:themeFill="accent5"/>
      </w:tcPr>
    </w:tblStylePr>
    <w:tblStylePr w:type="lastRow">
      <w:rPr>
        <w:color w:val="F2F2F2"/>
        <w:sz w:val="22"/>
      </w:rPr>
      <w:tblPr/>
      <w:tcPr>
        <w:shd w:val="clear" w:color="FFFFFF" w:themeFill="accent5"/>
      </w:tcPr>
    </w:tblStylePr>
  </w:style>
  <w:style w:type="table" w:styleId="76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themeFill="accent6"/>
      </w:tcPr>
    </w:tblStylePr>
    <w:tblStylePr w:type="firstRow">
      <w:rPr>
        <w:color w:val="F2F2F2"/>
        <w:sz w:val="22"/>
      </w:rPr>
      <w:tblPr/>
      <w:tcPr>
        <w:shd w:val="clear" w:color="FFFFFF" w:themeFill="accent6"/>
      </w:tcPr>
    </w:tblStylePr>
    <w:tblStylePr w:type="lastCol">
      <w:rPr>
        <w:color w:val="F2F2F2"/>
        <w:sz w:val="22"/>
      </w:rPr>
      <w:tblPr/>
      <w:tcPr>
        <w:shd w:val="clear" w:color="FFFFFF" w:themeFill="accent6"/>
      </w:tcPr>
    </w:tblStylePr>
    <w:tblStylePr w:type="lastRow">
      <w:rPr>
        <w:color w:val="F2F2F2"/>
        <w:sz w:val="22"/>
      </w:rPr>
      <w:tblPr/>
      <w:tcPr>
        <w:shd w:val="clear" w:color="FFFFFF" w:themeFill="accent6"/>
      </w:tcPr>
    </w:tblStylePr>
  </w:style>
  <w:style w:type="table" w:styleId="76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6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6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7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7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7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7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44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2</Pages>
  <Words>455</Words>
  <Characters>3044</Characters>
  <CharactersWithSpaces>3641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2021-12-06T08:46:01Z</dcterms:created>
  <dc:creator/>
  <dc:description/>
  <dc:language>ru-RU</dc:language>
  <cp:lastModifiedBy/>
  <cp:lastPrinted>2023-07-26T11:20:28Z</cp:lastPrinted>
  <dcterms:modified xsi:type="dcterms:W3CDTF">2023-07-26T11:56:09Z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