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   К</w:t>
      </w:r>
      <w:r>
        <w:rPr>
          <w:rFonts w:ascii="Tinos" w:hAnsi="Tinos" w:cs="Tinos" w:eastAsia="Tinos"/>
          <w:b w:val="false"/>
          <w:sz w:val="28"/>
          <w:szCs w:val="28"/>
        </w:rPr>
        <w:t xml:space="preserve">онтрольно-счетной комиссией  Ровеньского района  в  соответствии с планом работы на 2024 год, проведена  </w:t>
      </w:r>
      <w:r>
        <w:rPr>
          <w:rFonts w:ascii="Tinos" w:hAnsi="Tinos" w:cs="Tinos" w:eastAsia="Tinos"/>
          <w:b w:val="false"/>
          <w:sz w:val="28"/>
        </w:rPr>
        <w:t xml:space="preserve">проверка  </w:t>
      </w:r>
      <w:r>
        <w:rPr>
          <w:rFonts w:ascii="Tinos" w:hAnsi="Tinos" w:cs="Tinos" w:eastAsia="Tinos"/>
          <w:b w:val="false"/>
          <w:sz w:val="28"/>
        </w:rPr>
        <w:t xml:space="preserve"> отдельных вопросов  эффективности использования муниципальной собственности администрации Ржевского сельского     </w:t>
      </w:r>
      <w:r>
        <w:rPr>
          <w:rFonts w:ascii="Tinos" w:hAnsi="Tinos" w:cs="Tinos" w:eastAsia="Tinos"/>
          <w:b w:val="false"/>
          <w:sz w:val="28"/>
        </w:rPr>
      </w:r>
      <w:r>
        <w:rPr>
          <w:rFonts w:ascii="Tinos" w:hAnsi="Tinos" w:cs="Tinos" w:eastAsia="Tinos"/>
          <w:b w:val="false"/>
          <w:sz w:val="28"/>
        </w:rPr>
      </w:r>
      <w:r>
        <w:rPr>
          <w:rFonts w:ascii="Tinos" w:hAnsi="Tinos" w:cs="Tinos" w:eastAsia="Tinos"/>
          <w:b w:val="false"/>
          <w:sz w:val="28"/>
        </w:rPr>
        <w:t xml:space="preserve">поселения  в  текущем периоде 2024 года ».</w:t>
      </w:r>
      <w:r>
        <w:rPr>
          <w:rFonts w:ascii="Tinos" w:hAnsi="Tinos" w:cs="Tinos" w:eastAsia="Tinos"/>
          <w:b w:val="false"/>
          <w:sz w:val="28"/>
        </w:rPr>
        <w:t xml:space="preserve">   </w:t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</w:rPr>
      </w:pPr>
      <w:r>
        <w:rPr>
          <w:rFonts w:ascii="Tinos" w:hAnsi="Tinos" w:cs="Tinos" w:eastAsia="Tinos"/>
          <w:b w:val="false"/>
          <w:sz w:val="28"/>
        </w:rPr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ходе  контрольного мероприятия  установлено.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2" w:after="0" w:afterAutospacing="0" w:before="0" w:beforeAutospacing="0"/>
        <w:rPr>
          <w:rFonts w:ascii="Tinos" w:hAnsi="Tinos" w:cs="Tinos" w:eastAsia="Tinos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b w:val="false"/>
          <w:color w:val="000000"/>
          <w:sz w:val="28"/>
          <w:highlight w:val="none"/>
        </w:rPr>
        <w:t xml:space="preserve">    В нарушение 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п.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1.3  Порядка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ведения Реестра муниципальной собственности Ржевского сельского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№ 97 в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реестр  муниципальной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собственности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Ржевского сельского поселения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не  включено  имущество , являющее  собственностью   Ржевское сельское поселение </w:t>
      </w:r>
      <w:r>
        <w:rPr>
          <w:rFonts w:eastAsiaTheme="minorHAnsi"/>
          <w:sz w:val="28"/>
          <w:highlight w:val="none"/>
        </w:rPr>
        <w:t xml:space="preserve">:</w:t>
      </w:r>
      <w:r>
        <w:rPr>
          <w:rFonts w:eastAsiaTheme="minorHAnsi"/>
          <w:sz w:val="28"/>
        </w:rPr>
      </w:r>
      <w:r>
        <w:rPr>
          <w:rFonts w:eastAsiaTheme="minorHAnsi"/>
          <w:sz w:val="28"/>
        </w:rPr>
      </w:r>
    </w:p>
    <w:p>
      <w:pPr>
        <w:ind w:left="0" w:firstLine="0"/>
        <w:jc w:val="both"/>
        <w:spacing w:lineRule="auto" w:line="242" w:after="0" w:afterAutospacing="0" w:before="0" w:before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сооружение историческое -братская могила шести советских воинов, погибших в боях с фашисткими захватчиками в 1943 году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(объект культурного наследия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),  кадастровый номер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31:24:0505004:138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(дата  присвоения 3.06.2016 года) , расположенный по адресу с.Ржевка , площадью 10,8 кв.м. ;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  <w:sz w:val="28"/>
        </w:rPr>
      </w:r>
    </w:p>
    <w:p>
      <w:pPr>
        <w:ind w:left="0" w:firstLine="0"/>
        <w:jc w:val="both"/>
        <w:spacing w:lineRule="auto" w:line="242" w:after="0" w:afterAutospacing="0" w:before="0" w:before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-земля населенных пунктов ,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кадастровый номер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31:24:0505003:24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(дата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присвоения 4.06.2012 года) , расположенная по адресу с.Ржевка , площадью 2827 кв.м., кадастровая стоимость 234047 руб. 33коп.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  <w:sz w:val="28"/>
        </w:rPr>
      </w:r>
    </w:p>
    <w:p>
      <w:pPr>
        <w:ind w:left="0" w:firstLine="0"/>
        <w:jc w:val="both"/>
        <w:spacing w:lineRule="auto" w:line="242" w:after="0" w:afterAutospacing="0" w:before="0" w:before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-водозаборная скважина,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кадастровый номер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31:24:0505003:40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(дата  присвоения 20.02.2019 года) , расположенная по адресу с.Ржевка , площадью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215 кв.м.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eastAsiaTheme="minorHAnsi"/>
          <w:sz w:val="28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 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В нарушение ст.3 Положения об имуществе казны, п.7 «Казна»  № 84н в состав казны включено имущество  земельный участок  площадью 282 кв.м.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кадастровый номер 31:24:0505004:146, 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 расположенный в с.Ржевка под  сооружением историческим , кадастровой стоимостью 38028 руб.98 коп.,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 на который право, постоянного (бессрочного ) пользования  закреплено за администрацией Ржевского сельского поселения.</w:t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  <w:highlight w:val="none"/>
        </w:rPr>
      </w:r>
    </w:p>
    <w:p>
      <w:pPr>
        <w:ind w:left="0" w:firstLine="0"/>
        <w:jc w:val="both"/>
        <w:spacing w:lineRule="auto" w:line="242" w:after="0" w:afterAutospacing="0" w:before="0" w:beforeAutospacing="0"/>
        <w:rPr>
          <w:rFonts w:ascii="Tinos" w:hAnsi="Tinos" w:cs="Tinos" w:eastAsia="Tinos"/>
          <w:sz w:val="28"/>
          <w:highlight w:val="magenta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нарушение п.3 ст.3.1 федерального закона от 25.10.2001 года № 137-ФЗ  «О введении в действие Земельного Кодекса РФ» государственный кадастровый  учет  земель на которых расположены  игровые детские площадки  не проводился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: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по ул.Победы,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ул.Молодежной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в с.Ржевка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по ул.Солнечной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с.Мартынцы .</w:t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sz w:val="28"/>
          <w:highlight w:val="none"/>
        </w:rPr>
      </w:r>
      <w:r>
        <w:rPr>
          <w:rFonts w:ascii="Tinos" w:hAnsi="Tinos" w:cs="Tinos" w:eastAsia="Tinos" w:eastAsiaTheme="minorHAnsi"/>
          <w:sz w:val="28"/>
          <w:highlight w:val="none"/>
        </w:rPr>
      </w:r>
    </w:p>
    <w:p>
      <w:pPr>
        <w:contextualSpacing w:val="true"/>
        <w:jc w:val="both"/>
        <w:spacing w:lineRule="auto" w:line="240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По результатам проведенного контрольного мероприятия было направлено:</w:t>
      </w:r>
      <w:r>
        <w:rPr>
          <w:rFonts w:ascii="Tinos" w:hAnsi="Tinos" w:cs="Tinos" w:eastAsia="Tinos" w:eastAsiaTheme="minorHAnsi"/>
          <w:sz w:val="28"/>
        </w:rPr>
      </w:r>
      <w:r>
        <w:rPr>
          <w:rFonts w:ascii="Tinos" w:hAnsi="Tinos" w:cs="Tinos" w:eastAsia="Tinos" w:eastAsiaTheme="minorHAnsi"/>
          <w:sz w:val="28"/>
        </w:rPr>
      </w:r>
    </w:p>
    <w:p>
      <w:pPr>
        <w:jc w:val="both"/>
        <w:spacing w:lineRule="auto" w:line="240" w:after="0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- представ</w:t>
      </w:r>
      <w:r>
        <w:rPr>
          <w:rFonts w:ascii="Tinos" w:hAnsi="Tinos" w:cs="Tinos" w:eastAsia="Tinos" w:eastAsiaTheme="minorHAnsi"/>
          <w:sz w:val="28"/>
          <w:szCs w:val="28"/>
          <w:highlight w:val="white"/>
        </w:rPr>
        <w:t xml:space="preserve">ление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главе администрации Ржевского сельского поселения</w:t>
      </w:r>
      <w:r>
        <w:rPr>
          <w:rFonts w:ascii="Tinos" w:hAnsi="Tinos" w:cs="Tinos" w:eastAsia="Tinos" w:eastAsiaTheme="minorHAnsi"/>
          <w:sz w:val="28"/>
        </w:rPr>
        <w:t xml:space="preserve">;</w:t>
      </w:r>
      <w:r>
        <w:rPr>
          <w:rFonts w:ascii="Tinos" w:hAnsi="Tinos" w:cs="Tinos" w:eastAsia="Tinos" w:eastAsiaTheme="minorHAnsi"/>
          <w:sz w:val="28"/>
        </w:rPr>
      </w:r>
    </w:p>
    <w:p>
      <w:pPr>
        <w:ind w:left="0" w:firstLine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 w:eastAsiaTheme="minorHAnsi"/>
          <w:sz w:val="28"/>
        </w:rPr>
        <w:t xml:space="preserve">-информационное письмо главе Ржевского поселения.</w:t>
      </w:r>
      <w:r>
        <w:rPr>
          <w:rFonts w:ascii="Tinos" w:hAnsi="Tinos" w:cs="Tinos" w:eastAsia="Tinos" w:eastAsiaTheme="minorHAnsi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ymbol">
    <w:panose1 w:val="02060603050505020204"/>
  </w:font>
  <w:font w:name="Wingdings">
    <w:panose1 w:val="020B06060308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2024-07-02T13:51:05Z</dcterms:modified>
</cp:coreProperties>
</file>