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Информация </w:t>
      </w:r>
      <w:r>
        <w:rPr>
          <w:rFonts w:ascii="Tinos" w:hAnsi="Tinos" w:eastAsia="Tinos" w:cs="Tinos"/>
          <w:b/>
          <w:sz w:val="28"/>
        </w:rPr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по результатам проведения  контрольного  мероприятия </w:t>
      </w:r>
      <w:r>
        <w:rPr>
          <w:rFonts w:ascii="Tinos" w:hAnsi="Tinos" w:eastAsia="Tinos" w:cs="Tinos"/>
          <w:b/>
          <w:sz w:val="28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b w:val="0"/>
          <w:sz w:val="28"/>
        </w:rPr>
      </w:pPr>
      <w:r>
        <w:rPr>
          <w:rFonts w:ascii="Tinos" w:hAnsi="Tinos" w:eastAsia="Tinos" w:cs="Tinos"/>
          <w:sz w:val="28"/>
        </w:rPr>
        <w:t xml:space="preserve">       Контрольно-счетной  комиссией  Ровеньского  района в соответствии с планом  работы  на  2024  год,  проведена </w:t>
      </w:r>
      <w:r>
        <w:rPr>
          <w:rFonts w:ascii="Tinos" w:hAnsi="Tinos" w:eastAsia="Tinos" w:cs="Tinos"/>
          <w:b w:val="0"/>
          <w:sz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«Проверка целевого и эффективного использования бюджетных средств, выделенных на реализацию муниципальной программы «</w:t>
      </w:r>
      <w:r>
        <w:rPr>
          <w:rFonts w:ascii="Tinos" w:hAnsi="Tinos" w:eastAsia="Tinos" w:cs="Tinos"/>
          <w:b w:val="0"/>
          <w:sz w:val="28"/>
          <w:szCs w:val="28"/>
        </w:rPr>
        <w:t xml:space="preserve">Формирование современной   городской среды на территории Ровеньского района»  в  Управлении  капитального строительства, транспорта, ЖКХ и топливно- энергетического комплекса администрации муниципального района «</w:t>
      </w:r>
      <w:r>
        <w:rPr>
          <w:rFonts w:ascii="Tinos" w:hAnsi="Tinos" w:eastAsia="Tinos" w:cs="Tinos"/>
          <w:b w:val="0"/>
          <w:sz w:val="28"/>
          <w:szCs w:val="28"/>
        </w:rPr>
        <w:t xml:space="preserve">Ровеньский район»</w:t>
      </w:r>
      <w:r>
        <w:rPr>
          <w:b w:val="0"/>
        </w:rPr>
        <w:t xml:space="preserve">.</w:t>
      </w:r>
      <w:r>
        <w:rPr>
          <w:rFonts w:ascii="Tinos" w:hAnsi="Tinos" w:eastAsia="Tinos" w:cs="Tinos"/>
          <w:b w:val="0"/>
          <w:sz w:val="28"/>
          <w:highlight w:val="none"/>
        </w:rPr>
      </w:r>
      <w:r/>
    </w:p>
    <w:p>
      <w:pPr>
        <w:jc w:val="both"/>
        <w:spacing w:after="0" w:line="240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  <w:szCs w:val="27"/>
          <w:highlight w:val="none"/>
        </w:rPr>
        <w:t xml:space="preserve">      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В рамках реализации муниципальной программы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«Формирование современной городской среды на территории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 Ровеньского района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»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, утвержденной постановлением администрации Ровеньского района  от 09.11.2017 года № 429 (с последними изменениями от 7.08.2024года № 466)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  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на  2024 год предусмотрены средства </w:t>
      </w:r>
      <w:r>
        <w:rPr>
          <w:rFonts w:ascii="Tinos" w:hAnsi="Tinos" w:eastAsia="Tinos" w:cs="Tinos"/>
          <w:sz w:val="28"/>
          <w:highlight w:val="none"/>
        </w:rPr>
        <w:t xml:space="preserve">по подпрограмме </w:t>
      </w:r>
      <w:r>
        <w:rPr>
          <w:rFonts w:ascii="Tinos" w:hAnsi="Tinos" w:eastAsia="Tinos" w:cs="Tinos"/>
          <w:sz w:val="28"/>
          <w:highlight w:val="none"/>
        </w:rPr>
        <w:t xml:space="preserve">«Благоустройство  общественных и иных территорий </w:t>
      </w:r>
      <w:r>
        <w:rPr>
          <w:rFonts w:ascii="Tinos" w:hAnsi="Tinos" w:eastAsia="Tinos" w:cs="Tinos"/>
          <w:sz w:val="28"/>
          <w:highlight w:val="none"/>
        </w:rPr>
        <w:t xml:space="preserve">соответствующего функционального назначения в границах Ровеньского района»  в сумме  31519,6 тыс.рублей в том числе:</w:t>
      </w:r>
      <w:r/>
    </w:p>
    <w:p>
      <w:pPr>
        <w:jc w:val="both"/>
        <w:spacing w:after="0" w:line="240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/>
          <w:sz w:val="28"/>
          <w:szCs w:val="27"/>
          <w:highlight w:val="none"/>
        </w:rPr>
        <w:t xml:space="preserve">федеральные средства  в сумме  24173,3тыс.рублей,</w:t>
      </w:r>
      <w:r>
        <w:rPr>
          <w:rFonts w:ascii="Tinos" w:hAnsi="Tinos" w:eastAsia="Tinos" w:cs="Tinos"/>
          <w:highlight w:val="none"/>
        </w:rPr>
      </w:r>
      <w:r/>
    </w:p>
    <w:p>
      <w:pPr>
        <w:jc w:val="both"/>
        <w:spacing w:after="0" w:line="240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/>
          <w:sz w:val="28"/>
          <w:szCs w:val="27"/>
          <w:highlight w:val="none"/>
        </w:rPr>
        <w:t xml:space="preserve">средства поселения в сумме  6339,0тыс.рублей,</w:t>
      </w:r>
      <w:r>
        <w:rPr>
          <w:rFonts w:ascii="Tinos" w:hAnsi="Tinos" w:eastAsia="Tinos" w:cs="Tinos"/>
          <w:highlight w:val="none"/>
        </w:rPr>
      </w:r>
      <w:r/>
    </w:p>
    <w:p>
      <w:pPr>
        <w:jc w:val="both"/>
        <w:spacing w:after="0" w:line="240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  <w:highlight w:val="none"/>
        </w:rPr>
        <w:t xml:space="preserve">областные с</w:t>
      </w:r>
      <w:r>
        <w:rPr>
          <w:rFonts w:ascii="Tinos" w:hAnsi="Tinos" w:eastAsia="Tinos" w:cs="Tinos"/>
          <w:sz w:val="28"/>
          <w:highlight w:val="none"/>
        </w:rPr>
        <w:t xml:space="preserve">редства  в сумме 1007,3тыс.рублей.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line="240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sz w:val="28"/>
          <w:szCs w:val="27"/>
        </w:rPr>
        <w:t xml:space="preserve">    В а</w:t>
      </w:r>
      <w:r>
        <w:rPr>
          <w:rFonts w:ascii="Tinos" w:hAnsi="Tinos" w:eastAsia="Tinos" w:cs="Tinos"/>
          <w:sz w:val="28"/>
          <w:szCs w:val="27"/>
        </w:rPr>
        <w:t xml:space="preserve">дресный перечень благоустройства</w:t>
      </w:r>
      <w:r>
        <w:rPr>
          <w:rFonts w:ascii="Tinos" w:hAnsi="Tinos" w:eastAsia="Tinos" w:cs="Tinos"/>
          <w:sz w:val="28"/>
          <w:szCs w:val="27"/>
        </w:rPr>
        <w:t xml:space="preserve">  общественных и иных территорий   на 2024 год включены : рекреационная зона «Солнечный остров», этап №2  п .Ровеньки ул. Речная; общественное пространство «Зеленая поляна» п.Ровеньки  ул. Московская.</w:t>
      </w:r>
      <w:r>
        <w:rPr>
          <w:rFonts w:ascii="Tinos" w:hAnsi="Tinos" w:eastAsia="Tinos" w:cs="Tinos"/>
          <w:sz w:val="28"/>
        </w:rPr>
      </w:r>
      <w:r/>
    </w:p>
    <w:p>
      <w:pPr>
        <w:contextualSpacing w:val="0"/>
        <w:jc w:val="both"/>
        <w:spacing w:before="0" w:after="0" w:line="242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/>
          <w:sz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highlight w:val="none"/>
        </w:rPr>
        <w:t xml:space="preserve">Решением Муниципального Совета муниципального района «Ровеньский район» от 27.12.2023 года № 4/31  «Об утверждении местного бюджета Ровеньского района на 2024 год и плановый период 2024-2025 годов» предусмотр</w:t>
      </w:r>
      <w:r>
        <w:rPr>
          <w:rFonts w:ascii="Tinos" w:hAnsi="Tinos" w:eastAsia="Tinos" w:cs="Tinos"/>
          <w:sz w:val="28"/>
          <w:highlight w:val="none"/>
        </w:rPr>
        <w:t xml:space="preserve">ены расходы на 2024 год по </w:t>
      </w:r>
      <w:r>
        <w:rPr>
          <w:rFonts w:ascii="Tinos" w:hAnsi="Tinos" w:eastAsia="Tinos" w:cs="Tinos"/>
          <w:sz w:val="28"/>
          <w:highlight w:val="none"/>
        </w:rPr>
        <w:t xml:space="preserve">р</w:t>
      </w:r>
      <w:r>
        <w:rPr>
          <w:rFonts w:ascii="Tinos" w:hAnsi="Tinos" w:eastAsia="Tinos" w:cs="Tinos"/>
          <w:sz w:val="28"/>
          <w:highlight w:val="none"/>
        </w:rPr>
        <w:t xml:space="preserve">азделу 0500 «Жилищно-коммунальное хозяйство» подраздел 0503 «Благоустройство»,   в рамках подпрограммы </w:t>
      </w:r>
      <w:r>
        <w:rPr>
          <w:rFonts w:ascii="Tinos" w:hAnsi="Tinos" w:eastAsia="Tinos" w:cs="Tinos"/>
          <w:sz w:val="28"/>
          <w:highlight w:val="none"/>
        </w:rPr>
        <w:t xml:space="preserve">«Благоустройство общественных и иных территорий соответствующего функционального назначения  в границах Ровеньского района»  муниципальной программы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«Формирование  современной городской среды на территории Ровеньского района»</w:t>
      </w:r>
      <w:r>
        <w:rPr>
          <w:rFonts w:ascii="Tinos" w:hAnsi="Tinos" w:eastAsia="Tinos" w:cs="Tinos"/>
          <w:sz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highlight w:val="none"/>
        </w:rPr>
        <w:t xml:space="preserve">на реализацию мероприятий по благоустройству общественной территории «Зеленая поляна» на ул.Московская и рекреационной зоны «Солнечный остров» (II этап) ул.Речная в сумме 31519,6тыс.рублей .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</w:rPr>
        <w:t xml:space="preserve">В соответствии с заключенными контрактами работы по  объектам благоустройства :</w:t>
      </w:r>
      <w:r>
        <w:rPr>
          <w:rFonts w:ascii="Tinos" w:hAnsi="Tinos" w:eastAsia="Tinos" w:cs="Tinos"/>
          <w:sz w:val="28"/>
          <w:highlight w:val="none"/>
        </w:rPr>
        <w:t xml:space="preserve">общественной территории «Зеленая поляна» на ул.Московская и рекреационной зоны «Солнечный остров» (II этап) ул.Речная </w:t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  <w:t xml:space="preserve">работы выполнены в полном объеме.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sz w:val="28"/>
          <w:szCs w:val="27"/>
          <w:highlight w:val="none"/>
        </w:rPr>
      </w:pPr>
      <w:r>
        <w:rPr>
          <w:rFonts w:ascii="Tinos" w:hAnsi="Tinos" w:eastAsia="Tinos" w:cs="Tinos"/>
          <w:sz w:val="28"/>
        </w:rPr>
        <w:t xml:space="preserve"> </w:t>
      </w:r>
      <w:r>
        <w:rPr>
          <w:rFonts w:ascii="Tinos" w:hAnsi="Tinos" w:eastAsia="Tinos" w:cs="Tinos"/>
          <w:sz w:val="28"/>
        </w:rPr>
        <w:t xml:space="preserve"> Имущество по объектам благоустройства:</w:t>
      </w:r>
      <w:r>
        <w:rPr>
          <w:rFonts w:ascii="Tinos" w:hAnsi="Tinos" w:eastAsia="Tinos" w:cs="Tinos"/>
          <w:sz w:val="28"/>
          <w:highlight w:val="none"/>
        </w:rPr>
        <w:t xml:space="preserve">общественной территории «Зеленая поляна» на ул.Московская на сумму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13907910 рублей 66 коп.</w:t>
      </w:r>
      <w:r>
        <w:rPr>
          <w:rFonts w:ascii="Tinos" w:hAnsi="Tinos" w:eastAsia="Tinos" w:cs="Tinos"/>
          <w:sz w:val="28"/>
        </w:rPr>
        <w:t xml:space="preserve"> , </w:t>
      </w:r>
      <w:r>
        <w:rPr>
          <w:rFonts w:ascii="Tinos" w:hAnsi="Tinos" w:eastAsia="Tinos" w:cs="Tinos"/>
          <w:sz w:val="28"/>
          <w:highlight w:val="none"/>
        </w:rPr>
        <w:t xml:space="preserve">рекреационной зоны «Солнечный остров» (II этап) ул.Речная </w:t>
      </w:r>
      <w:r>
        <w:rPr>
          <w:rFonts w:ascii="Tinos" w:hAnsi="Tinos" w:eastAsia="Tinos" w:cs="Tinos"/>
          <w:sz w:val="28"/>
        </w:rPr>
        <w:t xml:space="preserve">на сумму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17531851 рубль  33 коп. ,</w:t>
      </w:r>
      <w:r>
        <w:rPr>
          <w:rFonts w:ascii="Tinos" w:hAnsi="Tinos" w:eastAsia="Tinos" w:cs="Tinos"/>
          <w:sz w:val="28"/>
        </w:rPr>
        <w:t xml:space="preserve"> передано в безвозмездную  собственность  городского поселения «Поселок Ровеньки».</w:t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  <w:t xml:space="preserve"> </w:t>
      </w:r>
      <w:r>
        <w:rPr>
          <w:rFonts w:ascii="Tinos" w:hAnsi="Tinos" w:eastAsia="Tinos" w:cs="Tinos"/>
          <w:sz w:val="28"/>
        </w:rPr>
        <w:t xml:space="preserve"> В ходе проверки осуществлена  сверка   объемов принятых   работ    по  объектам благоустройства</w:t>
      </w:r>
      <w:r>
        <w:rPr>
          <w:rFonts w:ascii="Tinos" w:hAnsi="Tinos" w:eastAsia="Tinos" w:cs="Tinos"/>
          <w:sz w:val="28"/>
          <w:highlight w:val="none"/>
        </w:rPr>
        <w:t xml:space="preserve">,   </w:t>
      </w:r>
      <w:r>
        <w:rPr>
          <w:rFonts w:ascii="Tinos" w:hAnsi="Tinos" w:eastAsia="Tinos" w:cs="Tinos"/>
          <w:sz w:val="28"/>
          <w:szCs w:val="27"/>
          <w:highlight w:val="none"/>
        </w:rPr>
        <w:t xml:space="preserve">расхождений в объемах работ не установлено.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contextualSpacing w:val="0"/>
        <w:jc w:val="both"/>
        <w:spacing w:before="0" w:after="0" w:line="250" w:lineRule="auto"/>
        <w:rPr>
          <w:rFonts w:ascii="Tinos" w:hAnsi="Tinos" w:cs="Tinos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 </w:t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1"/>
    <w:next w:val="811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No Spacing"/>
    <w:basedOn w:val="811"/>
    <w:uiPriority w:val="1"/>
    <w:qFormat/>
    <w:pPr>
      <w:spacing w:after="0" w:line="240" w:lineRule="auto"/>
    </w:pPr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character" w:styleId="8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2024-12-18T06:36:38Z</dcterms:modified>
</cp:coreProperties>
</file>