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 Ровеньского района  в  соответствии с планом работы на 2024 год, проведена проверка </w:t>
      </w:r>
      <w:r>
        <w:rPr>
          <w:rFonts w:ascii="Tinos" w:hAnsi="Tinos" w:cs="Tinos" w:eastAsia="Tinos"/>
          <w:b/>
          <w:sz w:val="28"/>
        </w:rPr>
        <w:t xml:space="preserve">  </w:t>
      </w:r>
      <w:r>
        <w:rPr>
          <w:rFonts w:ascii="Tinos" w:hAnsi="Tinos" w:cs="Tinos" w:eastAsia="Tinos"/>
          <w:b w:val="false"/>
          <w:sz w:val="28"/>
        </w:rPr>
        <w:t xml:space="preserve"> финансово-хозяйственной деятельности в МКУ «Административно-хозяйственная служба обеспечения деятельности органов местного самоуправления Новоалександровского сельского поселения муниципального района «Ровеньский район» Белгородской области»</w:t>
      </w:r>
      <w:r>
        <w:rPr>
          <w:rFonts w:ascii="Tinos" w:hAnsi="Tinos" w:cs="Tinos" w:eastAsia="Tinos"/>
          <w:b w:val="false"/>
          <w:sz w:val="28"/>
          <w:szCs w:val="28"/>
        </w:rPr>
        <w:t xml:space="preserve">    за 2023год.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 w:val="false"/>
          <w:sz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В ходе проверки установлено.</w:t>
      </w:r>
      <w:r>
        <w:rPr>
          <w:rFonts w:ascii="Tinos" w:hAnsi="Tinos" w:cs="Tinos" w:eastAsia="Tinos"/>
          <w:b w:val="false"/>
          <w:sz w:val="28"/>
          <w:szCs w:val="28"/>
          <w:highlight w:val="none"/>
        </w:rPr>
      </w:r>
      <w:r/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</w:rPr>
        <w:t xml:space="preserve">В </w:t>
      </w:r>
      <w:r>
        <w:rPr>
          <w:rFonts w:ascii="Tinos" w:hAnsi="Tinos" w:cs="Tinos" w:eastAsia="Tinos" w:eastAsiaTheme="minorHAnsi"/>
          <w:sz w:val="28"/>
        </w:rPr>
        <w:t xml:space="preserve"> нормативно-правовых документах</w:t>
      </w:r>
      <w:r>
        <w:rPr>
          <w:rFonts w:ascii="Tinos" w:hAnsi="Tinos" w:cs="Tinos" w:eastAsia="Tinos" w:eastAsiaTheme="minorHAnsi"/>
          <w:sz w:val="28"/>
        </w:rPr>
        <w:t xml:space="preserve">   МКУ «Новоалександровская АХС» установлена  противоречивость по утверждению бюджетной сметы: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-согласно п.4.2.1 Устава к компетенции учредителя  относится «утверждение бюджетной сметы учреждения»;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-согласно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Порядка составления ,утверждения и ведения бюджетных смет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администрации  Новоалександровского сельского поселения,утвержденного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распоряжением  администрации  Новоалександровского сельского поселения 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от  28.12.2018 года №107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,  «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смета учреждения,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 утверждается руководителем учреждения»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В нарушение  Порядка утверждения и составления сметы: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 в форме бюджетной сметы  (Ф.0501012) не предусмотрен гриф  «согласовано»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с указанием  наименования должности согласовавшего смету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у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чреждения должностного лица;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 бюджетная  смета   учреждения  утверждена  главным  распорядителем средств , главой администрации Новоалександровского сельского поселения.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Бюджетная смета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МКУ «Новоалександровская  АХС»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(Ф. 0501012)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на 2023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год и плановый период 2024 и 2025 годов ,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утвержд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ена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от 09.01.2023год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главой администрации  Новоалександровского сельского  поселения в сумм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е 2539,0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тыс.рублей,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исполнена в сумме  2518,5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т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ыс.рублей  или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99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%,  в том числе расходы на оплату труда в сумме 2290,7тыс.рублей или 99,6%, расходы на закупку  товаров, работ, услуг в сумме 226,8тыс.рублей или 94,5%.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eastAsiaTheme="minorHAnsi"/>
        </w:rPr>
      </w:r>
    </w:p>
    <w:p>
      <w:pPr>
        <w:contextualSpacing w:val="true"/>
        <w:jc w:val="both"/>
        <w:spacing w:lineRule="auto" w:line="240" w:after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    В ходе проверки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оплаты труда работников установлено неэффективное использование средств на  выплату заработной платы  в сумме 26,06тыс.рублей .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В Положении об оплате труда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отсутствует порядок   установления коэффициента  квалификации водителю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.</w:t>
      </w:r>
      <w:r>
        <w:rPr>
          <w:rFonts w:eastAsiaTheme="minorHAnsi"/>
          <w:highlight w:val="none"/>
        </w:rPr>
      </w:r>
      <w:r>
        <w:rPr>
          <w:rFonts w:eastAsiaTheme="minorHAnsi"/>
          <w:highlight w:val="none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В нарушение</w:t>
      </w: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 приказа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Министерства транспорта РФ от 28.09.2022 года №390 «Порядок оформления путевого листа» (с изменения от 05.05.2023г. №159)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в путевых листах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: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в разделе </w:t>
      </w: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«Сведения о водителе транспортного средства»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отсутствует: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 дата выдачи водительского удостоверения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(</w:t>
      </w: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п.6</w:t>
      </w:r>
      <w:r>
        <w:rPr>
          <w:rFonts w:ascii="Tinos" w:hAnsi="Tinos" w:cs="Tinos" w:eastAsia="Tinos" w:eastAsiaTheme="minorHAnsi"/>
          <w:sz w:val="28"/>
        </w:rPr>
        <w:t xml:space="preserve"> 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-страховой номер индивидуального лицевого счета водителя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(п.6)</w:t>
      </w:r>
      <w:r>
        <w:rPr>
          <w:rFonts w:ascii="Tinos" w:hAnsi="Tinos" w:cs="Tinos" w:eastAsia="Tinos" w:eastAsiaTheme="minorHAnsi"/>
          <w:sz w:val="28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  отсутствуют сведения о  виде перевозки (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п.7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);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contextualSpacing w:val="false"/>
        <w:jc w:val="both"/>
        <w:spacing w:lineRule="auto" w:line="238" w:after="0" w:before="0"/>
        <w:rPr>
          <w:rFonts w:ascii="Tinos" w:hAnsi="Tinos" w:cs="Tinos" w:eastAsia="Tinos"/>
          <w:highlight w:val="none"/>
        </w:rPr>
        <w:suppressLineNumbers w:val="0"/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-не указаны  сведения о виде сообщения ( городское,пригороднее, междугороднее)(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п.8)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Theme="minorHAnsi"/>
          <w:sz w:val="28"/>
          <w:szCs w:val="28"/>
          <w:highlight w:val="none"/>
        </w:rPr>
        <w:t xml:space="preserve">В нарушение п.1 ст.781 Гражданского кодекса РФ, п.2 ч.1 ст.94 Федерального закона №44-ФЗ </w:t>
      </w:r>
      <w:r>
        <w:rPr>
          <w:rFonts w:ascii="Tinos" w:hAnsi="Tinos" w:cs="Tinos" w:eastAsiaTheme="minorHAnsi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cs="Tinos" w:eastAsiaTheme="minorHAnsi"/>
          <w:sz w:val="28"/>
          <w:szCs w:val="28"/>
          <w:highlight w:val="none"/>
          <w:u w:val="none"/>
        </w:rPr>
        <w:t xml:space="preserve">оплата  за предоставленные услуги  осуществлена с нарушением установленных сроков.</w:t>
      </w:r>
      <w:r>
        <w:rPr>
          <w:rFonts w:ascii="Tinos" w:hAnsi="Tinos" w:cs="Tinos" w:eastAsia="Tinos" w:eastAsiaTheme="minorHAnsi"/>
          <w:b/>
          <w:sz w:val="28"/>
          <w:highlight w:val="none"/>
          <w:u w:val="none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b/>
          <w:sz w:val="28"/>
          <w:highlight w:val="none"/>
          <w:u w:val="none"/>
        </w:rPr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В нарушение 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 п.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7 ст.94 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 Федерального закона №44-ФЗ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 приемка товара (работ, услуг)  на соответствие условиям контракта осуществлялась </w:t>
      </w:r>
      <w:r>
        <w:rPr>
          <w:rFonts w:ascii="Tinos" w:hAnsi="Tinos" w:cs="Tinos" w:eastAsiaTheme="minorHAnsi"/>
          <w:sz w:val="28"/>
          <w:szCs w:val="28"/>
          <w:highlight w:val="none"/>
        </w:rPr>
        <w:t xml:space="preserve">без  оформления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документов о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результатах  проведенной экспертизы о приемке товаров (работ,услуг)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.</w:t>
      </w:r>
      <w:r>
        <w:rPr>
          <w:rFonts w:ascii="Tinos" w:hAnsi="Tinos" w:cs="Tinos" w:eastAsia="Tinos" w:eastAsiaTheme="minorHAnsi"/>
          <w:b/>
          <w:sz w:val="28"/>
          <w:highlight w:val="none"/>
          <w:u w:val="none"/>
        </w:rPr>
      </w:r>
      <w:r>
        <w:rPr>
          <w:rFonts w:eastAsiaTheme="minorHAnsi"/>
        </w:rPr>
      </w:r>
      <w:r>
        <w:rPr>
          <w:rFonts w:ascii="Tinos" w:hAnsi="Tinos" w:cs="Tinos" w:eastAsia="Tinos" w:eastAsiaTheme="minorHAnsi"/>
          <w:color w:val="auto"/>
          <w:sz w:val="28"/>
          <w:szCs w:val="28"/>
          <w:highlight w:val="none"/>
        </w:rPr>
        <w:t xml:space="preserve">  </w:t>
      </w:r>
      <w:r>
        <w:rPr>
          <w:rFonts w:eastAsiaTheme="minorHAnsi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   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По результатам проведенного контрольного мероприятия были направлены: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- представ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ление  начальнику МКУ «Новоалександровская  АХС»</w:t>
      </w: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contextualSpacing w:val="true"/>
        <w:jc w:val="both"/>
        <w:spacing w:lineRule="auto" w:line="240" w:after="0"/>
        <w:rPr>
          <w:rFonts w:ascii="Tinos" w:hAnsi="Tinos" w:cs="Tinos" w:eastAsia="Tinos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white"/>
        </w:rPr>
        <w:t xml:space="preserve">-информационное письмо  главе администрации  Новоалександровского сельского      поселения</w:t>
      </w: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2024-03-06T07:01:45Z</dcterms:modified>
</cp:coreProperties>
</file>