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>
      <w:pPr>
        <w:pStyle w:val="Style25"/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Ф Е Д Е Р А Ц И Я</w:t>
      </w:r>
    </w:p>
    <w:p>
      <w:pPr>
        <w:pStyle w:val="Style25"/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>
      <w:pPr>
        <w:pStyle w:val="Style25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25"/>
        <w:jc w:val="center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56705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5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2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Style25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>
      <w:pPr>
        <w:pStyle w:val="Style25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>
      <w:pPr>
        <w:pStyle w:val="Style2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Style2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rPr>
          <w:b/>
          <w:b/>
          <w:sz w:val="28"/>
        </w:rPr>
      </w:pPr>
      <w:r>
        <w:rPr>
          <w:sz w:val="28"/>
        </w:rPr>
        <w:t>___ ________ 2022 г.</w:t>
      </w:r>
      <w:r>
        <w:rPr>
          <w:b/>
          <w:sz w:val="28"/>
        </w:rPr>
        <w:t xml:space="preserve">             </w:t>
        <w:tab/>
        <w:tab/>
        <w:t xml:space="preserve">                                                    № </w:t>
      </w:r>
      <w:r>
        <w:rPr>
          <w:sz w:val="28"/>
        </w:rPr>
        <w:t>___/____</w:t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</w:r>
    </w:p>
    <w:tbl>
      <w:tblPr>
        <w:tblW w:w="6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4"/>
      </w:tblGrid>
      <w:tr>
        <w:trPr>
          <w:trHeight w:val="1543" w:hRule="atLeast"/>
        </w:trPr>
        <w:tc>
          <w:tcPr>
            <w:tcW w:w="6374" w:type="dxa"/>
            <w:tcBorders/>
          </w:tcPr>
          <w:p>
            <w:pPr>
              <w:pStyle w:val="Style14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прекращении полномочий Избирательной комиссии муниципального района «Ровеньский район» Белгородской области</w:t>
            </w:r>
          </w:p>
        </w:tc>
      </w:tr>
    </w:tbl>
    <w:p>
      <w:pPr>
        <w:pStyle w:val="Style2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ind w:firstLine="708"/>
        <w:jc w:val="both"/>
        <w:rPr>
          <w:b/>
          <w:b/>
          <w:spacing w:val="20"/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пунктом 9 статьи 9 Федерального закона от 14.03.2022 № 60-ФЗ «О внесении изменений в отдельные законодательные акты Российской Федерации», со статьями 20,24,29 Федерального закона от 12.06.2002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67-ФЗ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Уставом муниципального района «Ровеньский район» Белгородской области, Муниципальный совет Ровеньского района </w:t>
      </w:r>
      <w:r>
        <w:rPr>
          <w:b/>
          <w:spacing w:val="20"/>
          <w:sz w:val="28"/>
          <w:szCs w:val="28"/>
        </w:rPr>
        <w:t>решил:</w:t>
      </w:r>
    </w:p>
    <w:p>
      <w:pPr>
        <w:pStyle w:val="ConsNormal"/>
        <w:ind w:left="0" w:right="0"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>1. Прекратить исполнение полномочий Избирательной комиссии муниципального района «Ровеньский район» Белгородской области со сроком полномочий 2018-2023 гг. с 1 января 2023 года.</w:t>
      </w:r>
    </w:p>
    <w:p>
      <w:pPr>
        <w:pStyle w:val="Style25"/>
        <w:ind w:firstLine="708"/>
        <w:jc w:val="both"/>
        <w:rPr/>
      </w:pPr>
      <w:r>
        <w:rPr>
          <w:sz w:val="28"/>
          <w:szCs w:val="28"/>
        </w:rPr>
        <w:t>2. Полномочия членов избирательной комиссии муниципального района  «Ровеньский район» Белгородской области с правом решающего голоса со сроком полномочий 2018-2023 гг. прекратить, освободив от обязанностей членов избирательной комиссии муниципального района  «Ровеньский район» Белгородской области с правом решающего голоса: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Полтавцеву Надежду Павловну;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Назаренко Светлану Алексеевну;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Киричкова Андрея Ивановича;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Иващенко Галину Дмитриевну;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Удовидченко Людмилу Васильевну;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Поддубную Людмилу Ивановну;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Черевашенко Наталью Владимировну;</w:t>
      </w:r>
    </w:p>
    <w:p>
      <w:pPr>
        <w:pStyle w:val="Style2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Кравченко Галину Владимировну.</w:t>
      </w:r>
    </w:p>
    <w:p>
      <w:pPr>
        <w:pStyle w:val="Style25"/>
        <w:ind w:firstLine="540"/>
        <w:jc w:val="both"/>
        <w:rPr>
          <w:b/>
          <w:b/>
          <w:sz w:val="28"/>
          <w:szCs w:val="28"/>
          <w:highlight w:val="none"/>
        </w:rPr>
      </w:pPr>
      <w:r>
        <w:rPr>
          <w:b w:val="false"/>
          <w:sz w:val="28"/>
          <w:szCs w:val="28"/>
        </w:rPr>
        <w:t xml:space="preserve">3. Опубликовать настоящее решение в газете «Ровеньская нива» и разместить на официальном сайте органов местного самоуправления Ровеньского района в сети «Интернет». </w:t>
      </w:r>
      <w:r>
        <w:rPr>
          <w:b/>
          <w:sz w:val="28"/>
          <w:szCs w:val="28"/>
        </w:rPr>
        <w:t xml:space="preserve"> </w:t>
      </w:r>
    </w:p>
    <w:p>
      <w:pPr>
        <w:pStyle w:val="Style2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 Настоящее решение вступает в силу с момента его принятия.</w:t>
      </w:r>
    </w:p>
    <w:p>
      <w:pPr>
        <w:pStyle w:val="Style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Style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Муниципального совета </w:t>
      </w:r>
    </w:p>
    <w:p>
      <w:pPr>
        <w:pStyle w:val="Style25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Ровеньского района                                                       В.А. Некрасов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/>
      </w:r>
    </w:p>
    <w:sectPr>
      <w:footerReference w:type="even" r:id="rId3"/>
      <w:footerReference w:type="defaul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8745" cy="15875"/>
              <wp:effectExtent l="0" t="0" r="0" b="0"/>
              <wp:wrapSquare wrapText="bothSides"/>
              <wp:docPr id="4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9.2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8745" cy="17614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1760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9.25pt;height:138.6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8745" cy="1759585"/>
              <wp:effectExtent l="0" t="0" r="0" b="0"/>
              <wp:wrapSquare wrapText="bothSides"/>
              <wp:docPr id="8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175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58.4pt;margin-top:0.05pt;width:9.25pt;height:138.4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uiPriority w:val="9"/>
    <w:qFormat/>
    <w:pPr>
      <w:keepNext w:val="true"/>
      <w:keepLines/>
      <w:widowControl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zh-CN" w:bidi="ar-SA"/>
    </w:rPr>
  </w:style>
  <w:style w:type="paragraph" w:styleId="2">
    <w:name w:val="Heading 2"/>
    <w:uiPriority w:val="9"/>
    <w:unhideWhenUsed/>
    <w:qFormat/>
    <w:pPr>
      <w:keepNext w:val="true"/>
      <w:keepLines/>
      <w:widowControl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0"/>
      <w:lang w:val="ru-RU" w:eastAsia="zh-CN" w:bidi="ar-SA"/>
    </w:rPr>
  </w:style>
  <w:style w:type="paragraph" w:styleId="3">
    <w:name w:val="Heading 3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zh-CN" w:bidi="ar-SA"/>
    </w:rPr>
  </w:style>
  <w:style w:type="paragraph" w:styleId="4">
    <w:name w:val="Heading 4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zh-CN" w:bidi="ar-SA"/>
    </w:rPr>
  </w:style>
  <w:style w:type="paragraph" w:styleId="5">
    <w:name w:val="Heading 5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zh-CN" w:bidi="ar-SA"/>
    </w:rPr>
  </w:style>
  <w:style w:type="paragraph" w:styleId="6">
    <w:name w:val="Heading 6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7">
    <w:name w:val="Heading 7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zh-CN" w:bidi="ar-SA"/>
    </w:rPr>
  </w:style>
  <w:style w:type="paragraph" w:styleId="8">
    <w:name w:val="Heading 8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zh-CN" w:bidi="ar-SA"/>
    </w:rPr>
  </w:style>
  <w:style w:type="paragraph" w:styleId="9">
    <w:name w:val="Heading 9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zh-CN" w:bidi="ar-SA"/>
    </w:rPr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Основной шрифт абзаца"/>
    <w:semiHidden/>
    <w:qFormat/>
    <w:rPr/>
  </w:style>
  <w:style w:type="character" w:styleId="61">
    <w:name w:val="Основной текст (6)_"/>
    <w:qFormat/>
    <w:rPr>
      <w:b/>
      <w:bCs/>
      <w:spacing w:val="6"/>
      <w:sz w:val="21"/>
      <w:szCs w:val="21"/>
      <w:shd w:fill="FFFFFF" w:val="clear"/>
    </w:rPr>
  </w:style>
  <w:style w:type="character" w:styleId="Style9">
    <w:name w:val="Основной текст_"/>
    <w:qFormat/>
    <w:rPr>
      <w:spacing w:val="5"/>
      <w:sz w:val="21"/>
      <w:szCs w:val="21"/>
      <w:shd w:fill="FFFFFF" w:val="clear"/>
    </w:rPr>
  </w:style>
  <w:style w:type="character" w:styleId="21">
    <w:name w:val="Заголовок №2_"/>
    <w:qFormat/>
    <w:rPr>
      <w:b/>
      <w:bCs/>
      <w:spacing w:val="6"/>
      <w:sz w:val="21"/>
      <w:szCs w:val="21"/>
      <w:shd w:fill="FFFFFF" w:val="clear"/>
    </w:rPr>
  </w:style>
  <w:style w:type="character" w:styleId="Style10">
    <w:name w:val="Номер страницы"/>
    <w:basedOn w:val="Style8"/>
    <w:rPr/>
  </w:style>
  <w:style w:type="character" w:styleId="Style11">
    <w:name w:val="Верхний колонтитул Знак"/>
    <w:basedOn w:val="Style8"/>
    <w:qFormat/>
    <w:rPr/>
  </w:style>
  <w:style w:type="character" w:styleId="Appleconvertedspace">
    <w:name w:val="apple-converted-space"/>
    <w:qFormat/>
    <w:rPr/>
  </w:style>
  <w:style w:type="character" w:styleId="22">
    <w:name w:val="Основной текст (2)_"/>
    <w:qFormat/>
    <w:rPr>
      <w:sz w:val="26"/>
      <w:szCs w:val="26"/>
      <w:shd w:fill="FFFFFF" w:val="clear"/>
    </w:rPr>
  </w:style>
  <w:style w:type="character" w:styleId="Style12">
    <w:name w:val="Колонтитул"/>
    <w:qFormat/>
    <w:rPr>
      <w:rFonts w:ascii="Times New Roman" w:hAnsi="Times New Roman" w:eastAsia="Times New Roman"/>
      <w:b/>
      <w:bCs/>
      <w:color w:val="000000"/>
      <w:spacing w:val="0"/>
      <w:sz w:val="26"/>
      <w:szCs w:val="26"/>
      <w:u w:val="none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/>
      <w:sz w:val="26"/>
      <w:szCs w:val="26"/>
      <w:u w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Style25"/>
    <w:pPr>
      <w:jc w:val="center"/>
    </w:pPr>
    <w:rPr>
      <w:sz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uiPriority w:val="35"/>
    <w:semiHidden/>
    <w:unhideWhenUsed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NSimSun" w:cs="Mangal"/>
      <w:b/>
      <w:bCs/>
      <w:color w:val="4F81BD" w:themeColor="accent1"/>
      <w:kern w:val="0"/>
      <w:sz w:val="18"/>
      <w:szCs w:val="18"/>
      <w:lang w:val="ru-RU" w:eastAsia="zh-CN" w:bidi="ar-SA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Style18">
    <w:name w:val="Title"/>
    <w:uiPriority w:val="10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NSimSun" w:cs="Mangal"/>
      <w:color w:val="auto"/>
      <w:kern w:val="0"/>
      <w:sz w:val="48"/>
      <w:szCs w:val="48"/>
      <w:lang w:val="ru-RU" w:eastAsia="zh-CN" w:bidi="ar-SA"/>
    </w:rPr>
  </w:style>
  <w:style w:type="paragraph" w:styleId="Style19">
    <w:name w:val="Subtitle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ru-RU" w:eastAsia="zh-CN" w:bidi="ar-SA"/>
    </w:rPr>
  </w:style>
  <w:style w:type="paragraph" w:styleId="Quote">
    <w:name w:val="Quote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NSimSun" w:cs="Mangal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NSimSun" w:cs="Mangal"/>
      <w:i/>
      <w:color w:val="auto"/>
      <w:kern w:val="0"/>
      <w:sz w:val="20"/>
      <w:szCs w:val="20"/>
      <w:lang w:val="ru-RU" w:eastAsia="zh-CN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Style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note Text"/>
    <w:uiPriority w:val="99"/>
    <w:semiHidden/>
    <w:unhideWhenUsed/>
    <w:pPr>
      <w:widowControl/>
      <w:suppressAutoHyphens w:val="true"/>
      <w:bidi w:val="0"/>
      <w:spacing w:lineRule="auto" w:line="240" w:before="0" w:after="40"/>
      <w:jc w:val="left"/>
    </w:pPr>
    <w:rPr>
      <w:rFonts w:ascii="Times New Roman" w:hAnsi="Times New Roman" w:eastAsia="NSimSun" w:cs="Mangal"/>
      <w:color w:val="auto"/>
      <w:kern w:val="0"/>
      <w:sz w:val="18"/>
      <w:szCs w:val="20"/>
      <w:lang w:val="ru-RU" w:eastAsia="zh-CN" w:bidi="ar-SA"/>
    </w:rPr>
  </w:style>
  <w:style w:type="paragraph" w:styleId="Style24">
    <w:name w:val="Endnote Text"/>
    <w:uiPriority w:val="99"/>
    <w:semiHidden/>
    <w:unhideWhenUsed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11">
    <w:name w:val="TOC 1"/>
    <w:uiPriority w:val="39"/>
    <w:unhideWhenUsed/>
    <w:pPr>
      <w:widowControl/>
      <w:suppressAutoHyphens w:val="true"/>
      <w:bidi w:val="0"/>
      <w:spacing w:before="0" w:after="57"/>
      <w:ind w:left="0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23">
    <w:name w:val="TOC 2"/>
    <w:uiPriority w:val="39"/>
    <w:unhideWhenUsed/>
    <w:pPr>
      <w:widowControl/>
      <w:suppressAutoHyphens w:val="true"/>
      <w:bidi w:val="0"/>
      <w:spacing w:before="0" w:after="57"/>
      <w:ind w:left="283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31">
    <w:name w:val="TOC 3"/>
    <w:uiPriority w:val="39"/>
    <w:unhideWhenUsed/>
    <w:pPr>
      <w:widowControl/>
      <w:suppressAutoHyphens w:val="true"/>
      <w:bidi w:val="0"/>
      <w:spacing w:before="0" w:after="57"/>
      <w:ind w:left="567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41">
    <w:name w:val="TOC 4"/>
    <w:uiPriority w:val="39"/>
    <w:unhideWhenUsed/>
    <w:pPr>
      <w:widowControl/>
      <w:suppressAutoHyphens w:val="true"/>
      <w:bidi w:val="0"/>
      <w:spacing w:before="0" w:after="57"/>
      <w:ind w:left="850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51">
    <w:name w:val="TOC 5"/>
    <w:uiPriority w:val="39"/>
    <w:unhideWhenUsed/>
    <w:pPr>
      <w:widowControl/>
      <w:suppressAutoHyphens w:val="true"/>
      <w:bidi w:val="0"/>
      <w:spacing w:before="0" w:after="57"/>
      <w:ind w:left="1134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62">
    <w:name w:val="TOC 6"/>
    <w:uiPriority w:val="39"/>
    <w:unhideWhenUsed/>
    <w:pPr>
      <w:widowControl/>
      <w:suppressAutoHyphens w:val="true"/>
      <w:bidi w:val="0"/>
      <w:spacing w:before="0" w:after="57"/>
      <w:ind w:left="1417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71">
    <w:name w:val="TOC 7"/>
    <w:uiPriority w:val="39"/>
    <w:unhideWhenUsed/>
    <w:pPr>
      <w:widowControl/>
      <w:suppressAutoHyphens w:val="true"/>
      <w:bidi w:val="0"/>
      <w:spacing w:before="0" w:after="57"/>
      <w:ind w:left="1701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81">
    <w:name w:val="TOC 8"/>
    <w:uiPriority w:val="39"/>
    <w:unhideWhenUsed/>
    <w:pPr>
      <w:widowControl/>
      <w:suppressAutoHyphens w:val="true"/>
      <w:bidi w:val="0"/>
      <w:spacing w:before="0" w:after="57"/>
      <w:ind w:left="1984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91">
    <w:name w:val="TOC 9"/>
    <w:uiPriority w:val="39"/>
    <w:unhideWhenUsed/>
    <w:pPr>
      <w:widowControl/>
      <w:suppressAutoHyphens w:val="true"/>
      <w:bidi w:val="0"/>
      <w:spacing w:before="0" w:after="57"/>
      <w:ind w:left="2268" w:right="0" w:hanging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before="0" w:afterAutospacing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Style25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ru-RU" w:bidi="ar-SA"/>
    </w:rPr>
  </w:style>
  <w:style w:type="paragraph" w:styleId="Style26">
    <w:name w:val="Знак"/>
    <w:basedOn w:val="Style25"/>
    <w:qFormat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8"/>
      <w:szCs w:val="20"/>
      <w:lang w:val="ru-RU" w:eastAsia="ru-RU" w:bidi="ar-SA"/>
    </w:rPr>
  </w:style>
  <w:style w:type="paragraph" w:styleId="63">
    <w:name w:val="Основной текст (6)"/>
    <w:basedOn w:val="Style25"/>
    <w:qFormat/>
    <w:pPr>
      <w:widowControl w:val="false"/>
      <w:shd w:val="clear" w:color="auto" w:fill="FFFFFF"/>
      <w:spacing w:lineRule="exact" w:line="278" w:before="1020" w:after="0"/>
      <w:ind w:hanging="2080"/>
      <w:jc w:val="both"/>
    </w:pPr>
    <w:rPr>
      <w:b/>
      <w:bCs/>
      <w:spacing w:val="6"/>
      <w:sz w:val="21"/>
      <w:szCs w:val="21"/>
    </w:rPr>
  </w:style>
  <w:style w:type="paragraph" w:styleId="12">
    <w:name w:val="Основной текст1"/>
    <w:basedOn w:val="Style25"/>
    <w:qFormat/>
    <w:pPr>
      <w:widowControl w:val="false"/>
      <w:shd w:val="clear" w:color="auto" w:fill="FFFFFF"/>
      <w:spacing w:lineRule="exact" w:line="278" w:before="300" w:after="0"/>
      <w:jc w:val="both"/>
    </w:pPr>
    <w:rPr>
      <w:spacing w:val="5"/>
      <w:sz w:val="21"/>
      <w:szCs w:val="21"/>
    </w:rPr>
  </w:style>
  <w:style w:type="paragraph" w:styleId="24">
    <w:name w:val="Заголовок №2"/>
    <w:basedOn w:val="Style25"/>
    <w:qFormat/>
    <w:pPr>
      <w:widowControl w:val="false"/>
      <w:shd w:val="clear" w:color="auto" w:fill="FFFFFF"/>
      <w:spacing w:lineRule="atLeast" w:line="0" w:before="240" w:after="360"/>
      <w:ind w:hanging="3000"/>
      <w:outlineLvl w:val="1"/>
    </w:pPr>
    <w:rPr>
      <w:b/>
      <w:bCs/>
      <w:spacing w:val="6"/>
      <w:sz w:val="21"/>
      <w:szCs w:val="21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0"/>
      <w:sz w:val="22"/>
      <w:szCs w:val="22"/>
      <w:lang w:val="ru-RU" w:eastAsia="ru-RU" w:bidi="ar-SA"/>
    </w:rPr>
  </w:style>
  <w:style w:type="paragraph" w:styleId="25">
    <w:name w:val="Основной текст (2)"/>
    <w:basedOn w:val="Style25"/>
    <w:qFormat/>
    <w:pPr>
      <w:widowControl w:val="false"/>
      <w:shd w:val="clear" w:color="auto" w:fill="FFFFFF"/>
      <w:spacing w:lineRule="exact" w:line="293" w:before="620" w:after="0"/>
      <w:ind w:hanging="380"/>
      <w:jc w:val="both"/>
    </w:pPr>
    <w:rPr>
      <w:sz w:val="26"/>
      <w:szCs w:val="26"/>
    </w:rPr>
  </w:style>
  <w:style w:type="paragraph" w:styleId="ConsPlusNormal1">
    <w:name w:val="       ConsPlusNormal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16"/>
      <w:sz w:val="16"/>
      <w:szCs w:val="20"/>
      <w:u w:val="none"/>
      <w:vertAlign w:val="baseline"/>
      <w:lang w:val="en-US" w:eastAsia="zh-CN" w:bidi="ar-SA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19772" w:firstLine="72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731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4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4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261</Words>
  <Characters>1558</Characters>
  <CharactersWithSpaces>1941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2022-09-29T11:02:44Z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