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ПРОЕКТ</w:t>
      </w:r>
    </w:p>
    <w:p>
      <w:pPr>
        <w:pStyle w:val="Normal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Р О С С И Й С К А Я   Ф Е Д Е Р А Ц И Я</w:t>
      </w:r>
    </w:p>
    <w:p>
      <w:pPr>
        <w:pStyle w:val="Normal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Б Е Л Г О Р О Д С К А Я    О Б Л А С Т Ь</w:t>
      </w:r>
    </w:p>
    <w:p>
      <w:pPr>
        <w:pStyle w:val="Normal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p>
      <w:pPr>
        <w:pStyle w:val="Normal"/>
        <w:jc w:val="center"/>
        <w:rPr>
          <w:rFonts w:cs="Times New Roman"/>
          <w:b/>
        </w:rPr>
      </w:pPr>
      <w:r>
        <w:rPr/>
        <w:drawing>
          <wp:inline distT="0" distB="0" distL="0" distR="0">
            <wp:extent cx="561975" cy="7810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МУНИЦИПАЛЬНЫЙ СОВЕТ МУНИЦИПАЛЬНОГО РАЙОНА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«РОВЕНЬСКИЙ РАЙОН»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ЧЕТВЕРТОГО СОЗЫВА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Р Е Ш Е Н И Е</w:t>
      </w:r>
    </w:p>
    <w:p>
      <w:pPr>
        <w:pStyle w:val="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yle10"/>
        <w:rPr/>
      </w:pPr>
      <w:r>
        <w:rPr>
          <w:rFonts w:cs="Times New Roman"/>
          <w:sz w:val="28"/>
          <w:szCs w:val="28"/>
          <w:u w:val="single"/>
        </w:rPr>
        <w:tab/>
        <w:tab/>
        <w:tab/>
      </w:r>
      <w:r>
        <w:rPr>
          <w:rFonts w:cs="Times New Roman"/>
          <w:sz w:val="28"/>
          <w:szCs w:val="28"/>
        </w:rPr>
        <w:t>2023 год</w:t>
        <w:tab/>
        <w:tab/>
        <w:tab/>
        <w:tab/>
        <w:tab/>
        <w:tab/>
        <w:t xml:space="preserve">            № _______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Title"/>
        <w:widowControl/>
        <w:tabs>
          <w:tab w:val="clear" w:pos="709"/>
          <w:tab w:val="left" w:pos="4680" w:leader="none"/>
        </w:tabs>
        <w:ind w:right="39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решение Совета депутатов Ровеньского района от 14 ноября 2007 года №280 «Об утверждении положения о бюджетном процессе в Ровеньском районе»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приведения муниципальных нормативных правовых актов Ровеньского района в соответствие с требованиями Бюджетного кодекса Российской Федерации Муниципальный совет Ровеньского района </w:t>
      </w:r>
      <w:r>
        <w:rPr>
          <w:rFonts w:eastAsia="Times New Roman" w:cs="Times New Roman"/>
          <w:b/>
          <w:spacing w:val="40"/>
          <w:sz w:val="28"/>
          <w:szCs w:val="28"/>
        </w:rPr>
        <w:t>решил</w:t>
      </w:r>
      <w:r>
        <w:rPr>
          <w:rFonts w:eastAsia="Times New Roman" w:cs="Times New Roman"/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ind w:lef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Внести в Положение о бюджетном процессе в Ровеньском районе, утвержденное решением Совета депутатов Ровеньского района от 14 ноября 2007 года №280 «Об утверждении положения о бюджетном процессе в Ровеньском районе» следующие изменения:</w:t>
      </w:r>
    </w:p>
    <w:p>
      <w:pPr>
        <w:pStyle w:val="ListParagraph"/>
        <w:numPr>
          <w:ilvl w:val="1"/>
          <w:numId w:val="4"/>
        </w:numPr>
        <w:ind w:left="0" w:firstLine="567"/>
        <w:rPr>
          <w:rFonts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/>
          <w:sz w:val="28"/>
          <w:szCs w:val="28"/>
          <w:lang w:eastAsia="ru-RU" w:bidi="ru-RU"/>
        </w:rPr>
        <w:t>Дополнить Положение приложениями 28 и 29 следующего содержания:</w:t>
      </w:r>
    </w:p>
    <w:p>
      <w:pPr>
        <w:pStyle w:val="Normal"/>
        <w:suppressAutoHyphens w:val="false"/>
        <w:spacing w:lineRule="atLeast" w:line="220" w:before="0" w:after="1"/>
        <w:ind w:left="5103" w:hanging="0"/>
        <w:jc w:val="right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«Приложение 28</w:t>
      </w:r>
    </w:p>
    <w:p>
      <w:pPr>
        <w:pStyle w:val="Normal"/>
        <w:suppressAutoHyphens w:val="false"/>
        <w:spacing w:lineRule="atLeast" w:line="220" w:before="0" w:after="1"/>
        <w:ind w:left="5103" w:hanging="0"/>
        <w:jc w:val="right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 xml:space="preserve">к положению «О бюджетном </w:t>
      </w:r>
    </w:p>
    <w:p>
      <w:pPr>
        <w:pStyle w:val="Normal"/>
        <w:suppressAutoHyphens w:val="false"/>
        <w:spacing w:lineRule="atLeast" w:line="220" w:before="0" w:after="1"/>
        <w:ind w:left="5103" w:hanging="0"/>
        <w:jc w:val="right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процессе в Ровеньском районе»</w:t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МЕТОДИКА</w:t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РАСПРЕДЕЛЕНИЯ СУБСИДИЙ МЕСТНОГО БЮДЖЕТА РОВЕНЬСКОГО РАЙОНА БЮДЖЕТАМ ГОРОДСКОГО И СЕЛЬСКИХ ПОСЕЛЕНИЙ НА ОРГАНИЗАЦИЮ НАРУЖНОГО ОСВЕЩЕНИЯ НАСЕЛЕННЫХ ПУНКТОВ РОВЕНЬСКОГО РАЙОНА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1. Объем субсидий из местного бюджета бюджетам городского и сельских поселений на организацию наружного освещения населенных пунктов района за счет средств областного бюджета предусматривается в составе местного бюджета в целях финансирования по муниципальной программе  «Обеспечение доступным и комфортным жильем и коммунальными услугами жителей Ровеньского района».</w:t>
      </w:r>
    </w:p>
    <w:p>
      <w:pPr>
        <w:pStyle w:val="Normal"/>
        <w:widowControl w:val="false"/>
        <w:suppressAutoHyphens w:val="false"/>
        <w:spacing w:before="240" w:after="0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2. Объем субсидий бюджету городского, сельского поселения на организацию наружного освещения населенных пунктов района за счет средств областного бюджета рассчитывается по формуле: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РС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обл</w:t>
      </w:r>
      <w:r>
        <w:rPr>
          <w:rFonts w:eastAsia="Calibri" w:cs="Times New Roman"/>
          <w:sz w:val="28"/>
          <w:szCs w:val="28"/>
          <w:lang w:eastAsia="ru-RU"/>
        </w:rPr>
        <w:t xml:space="preserve"> = (С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эл</w:t>
      </w:r>
      <w:r>
        <w:rPr>
          <w:rFonts w:eastAsia="Calibri" w:cs="Times New Roman"/>
          <w:sz w:val="28"/>
          <w:szCs w:val="28"/>
          <w:lang w:eastAsia="ru-RU"/>
        </w:rPr>
        <w:t xml:space="preserve"> + Ц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эксп</w:t>
      </w:r>
      <w:r>
        <w:rPr>
          <w:rFonts w:eastAsia="Calibri" w:cs="Times New Roman"/>
          <w:sz w:val="28"/>
          <w:szCs w:val="28"/>
          <w:lang w:eastAsia="ru-RU"/>
        </w:rPr>
        <w:t>) x 0,25,</w:t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где: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РС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обл</w:t>
      </w:r>
      <w:r>
        <w:rPr>
          <w:rFonts w:eastAsia="Calibri" w:cs="Times New Roman"/>
          <w:sz w:val="28"/>
          <w:szCs w:val="28"/>
          <w:lang w:eastAsia="ru-RU"/>
        </w:rPr>
        <w:t xml:space="preserve"> - размер субсидии муниципальному образованию, руб.;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С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эл</w:t>
      </w:r>
      <w:r>
        <w:rPr>
          <w:rFonts w:eastAsia="Calibri" w:cs="Times New Roman"/>
          <w:sz w:val="28"/>
          <w:szCs w:val="28"/>
          <w:lang w:eastAsia="ru-RU"/>
        </w:rPr>
        <w:t xml:space="preserve"> - планируемая стоимость электроэнергии, потребленной объектами наружного освещения в год, руб.;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Ц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эксп</w:t>
      </w:r>
      <w:r>
        <w:rPr>
          <w:rFonts w:eastAsia="Calibri" w:cs="Times New Roman"/>
          <w:sz w:val="28"/>
          <w:szCs w:val="28"/>
          <w:lang w:eastAsia="ru-RU"/>
        </w:rPr>
        <w:t xml:space="preserve"> - цена эксплуатации объектов наружного освещения в год, руб.</w:t>
      </w:r>
    </w:p>
    <w:p>
      <w:pPr>
        <w:pStyle w:val="Normal"/>
        <w:widowControl w:val="false"/>
        <w:suppressAutoHyphens w:val="false"/>
        <w:spacing w:before="240" w:after="0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3. Планируемая стоимость электроэнергии, потребленной объектами наружного освещения, С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эл</w:t>
      </w:r>
      <w:r>
        <w:rPr>
          <w:rFonts w:eastAsia="Calibri" w:cs="Times New Roman"/>
          <w:sz w:val="28"/>
          <w:szCs w:val="28"/>
          <w:lang w:eastAsia="ru-RU"/>
        </w:rPr>
        <w:t xml:space="preserve"> определяется по формуле: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С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эл</w:t>
      </w:r>
      <w:r>
        <w:rPr>
          <w:rFonts w:eastAsia="Calibri" w:cs="Times New Roman"/>
          <w:sz w:val="28"/>
          <w:szCs w:val="28"/>
          <w:lang w:eastAsia="ru-RU"/>
        </w:rPr>
        <w:t>= Т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эл</w:t>
      </w:r>
      <w:r>
        <w:rPr>
          <w:rFonts w:eastAsia="Calibri" w:cs="Times New Roman"/>
          <w:sz w:val="28"/>
          <w:szCs w:val="28"/>
          <w:lang w:eastAsia="ru-RU"/>
        </w:rPr>
        <w:t xml:space="preserve"> x W,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где: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С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эл</w:t>
      </w:r>
      <w:r>
        <w:rPr>
          <w:rFonts w:eastAsia="Calibri" w:cs="Times New Roman"/>
          <w:sz w:val="28"/>
          <w:szCs w:val="28"/>
          <w:lang w:eastAsia="ru-RU"/>
        </w:rPr>
        <w:t xml:space="preserve"> - планируемая стоимость электроэнергии, потребленной объектами наружного освещения, руб.;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Т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эл</w:t>
      </w:r>
      <w:r>
        <w:rPr>
          <w:rFonts w:eastAsia="Calibri" w:cs="Times New Roman"/>
          <w:sz w:val="28"/>
          <w:szCs w:val="28"/>
          <w:lang w:eastAsia="ru-RU"/>
        </w:rPr>
        <w:t xml:space="preserve"> - тариф на электроэнергию за 1 кВт.ч, сложившийся в расчетном периоде, руб./кВт.ч;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W - общая планируемая годовая потребность в электрической энергии на организацию наружного освещения, кВт.ч.</w:t>
      </w:r>
    </w:p>
    <w:p>
      <w:pPr>
        <w:pStyle w:val="Normal"/>
        <w:widowControl w:val="false"/>
        <w:suppressAutoHyphens w:val="false"/>
        <w:spacing w:before="240" w:after="0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4. Общая планируемая годовая потребность в электрической энергии на организацию наружного освещения определяется по формуле: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W = W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ноч</w:t>
      </w:r>
      <w:r>
        <w:rPr>
          <w:rFonts w:eastAsia="Calibri" w:cs="Times New Roman"/>
          <w:sz w:val="28"/>
          <w:szCs w:val="28"/>
          <w:lang w:eastAsia="ru-RU"/>
        </w:rPr>
        <w:t xml:space="preserve"> + W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опт</w:t>
      </w:r>
      <w:r>
        <w:rPr>
          <w:rFonts w:eastAsia="Calibri" w:cs="Times New Roman"/>
          <w:sz w:val="28"/>
          <w:szCs w:val="28"/>
          <w:lang w:eastAsia="ru-RU"/>
        </w:rPr>
        <w:t>;</w:t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W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ноч</w:t>
      </w:r>
      <w:r>
        <w:rPr>
          <w:rFonts w:eastAsia="Calibri" w:cs="Times New Roman"/>
          <w:sz w:val="28"/>
          <w:szCs w:val="28"/>
          <w:lang w:eastAsia="ru-RU"/>
        </w:rPr>
        <w:t xml:space="preserve"> = (P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л</w:t>
      </w:r>
      <w:r>
        <w:rPr>
          <w:rFonts w:eastAsia="Calibri" w:cs="Times New Roman"/>
          <w:sz w:val="28"/>
          <w:szCs w:val="28"/>
          <w:lang w:eastAsia="ru-RU"/>
        </w:rPr>
        <w:t xml:space="preserve"> x N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ноч</w:t>
      </w:r>
      <w:r>
        <w:rPr>
          <w:rFonts w:eastAsia="Calibri" w:cs="Times New Roman"/>
          <w:sz w:val="28"/>
          <w:szCs w:val="28"/>
          <w:lang w:eastAsia="ru-RU"/>
        </w:rPr>
        <w:t xml:space="preserve"> x t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ноч</w:t>
      </w:r>
      <w:r>
        <w:rPr>
          <w:rFonts w:eastAsia="Calibri" w:cs="Times New Roman"/>
          <w:sz w:val="28"/>
          <w:szCs w:val="28"/>
          <w:lang w:eastAsia="ru-RU"/>
        </w:rPr>
        <w:t>) / 1000;</w:t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W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опт</w:t>
      </w:r>
      <w:r>
        <w:rPr>
          <w:rFonts w:eastAsia="Calibri" w:cs="Times New Roman"/>
          <w:sz w:val="28"/>
          <w:szCs w:val="28"/>
          <w:lang w:eastAsia="ru-RU"/>
        </w:rPr>
        <w:t xml:space="preserve"> = (P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л</w:t>
      </w:r>
      <w:r>
        <w:rPr>
          <w:rFonts w:eastAsia="Calibri" w:cs="Times New Roman"/>
          <w:sz w:val="28"/>
          <w:szCs w:val="28"/>
          <w:lang w:eastAsia="ru-RU"/>
        </w:rPr>
        <w:t xml:space="preserve"> x N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опт</w:t>
      </w:r>
      <w:r>
        <w:rPr>
          <w:rFonts w:eastAsia="Calibri" w:cs="Times New Roman"/>
          <w:sz w:val="28"/>
          <w:szCs w:val="28"/>
          <w:lang w:eastAsia="ru-RU"/>
        </w:rPr>
        <w:t xml:space="preserve"> x t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опт</w:t>
      </w:r>
      <w:r>
        <w:rPr>
          <w:rFonts w:eastAsia="Calibri" w:cs="Times New Roman"/>
          <w:sz w:val="28"/>
          <w:szCs w:val="28"/>
          <w:lang w:eastAsia="ru-RU"/>
        </w:rPr>
        <w:t>) / 1000;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где: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W - общая планируемая годовая потребность в электрической энергии на организацию наружного освещения, кВт.ч;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W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ноч</w:t>
      </w:r>
      <w:r>
        <w:rPr>
          <w:rFonts w:eastAsia="Calibri" w:cs="Times New Roman"/>
          <w:sz w:val="28"/>
          <w:szCs w:val="28"/>
          <w:lang w:eastAsia="ru-RU"/>
        </w:rPr>
        <w:t xml:space="preserve"> - планируемая годовая потребность в электрической энергии на организацию наружного освещения, работающего в общем режиме, в соответствии с единым графиком работы наружного освещения, кВт.ч;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W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опт</w:t>
      </w:r>
      <w:r>
        <w:rPr>
          <w:rFonts w:eastAsia="Calibri" w:cs="Times New Roman"/>
          <w:sz w:val="28"/>
          <w:szCs w:val="28"/>
          <w:lang w:eastAsia="ru-RU"/>
        </w:rPr>
        <w:t xml:space="preserve"> - планируемая годовая потребность в электрической энергии на организацию наружного освещения, работающего в оптимальном режиме, в соответствии с единым графиком работы наружного освещения, кВт.ч;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P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л</w:t>
      </w:r>
      <w:r>
        <w:rPr>
          <w:rFonts w:eastAsia="Calibri" w:cs="Times New Roman"/>
          <w:sz w:val="28"/>
          <w:szCs w:val="28"/>
          <w:lang w:eastAsia="ru-RU"/>
        </w:rPr>
        <w:t xml:space="preserve"> - средняя номинальная мощность лампы в светильнике с учетом потерь в пускорегулирующей аппаратуре, кВт;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N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ноч</w:t>
      </w:r>
      <w:r>
        <w:rPr>
          <w:rFonts w:eastAsia="Calibri" w:cs="Times New Roman"/>
          <w:sz w:val="28"/>
          <w:szCs w:val="28"/>
          <w:lang w:eastAsia="ru-RU"/>
        </w:rPr>
        <w:t xml:space="preserve"> - количество светильников на начало принятого расчетного периода, работающих в общем режиме, ед.;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N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опт</w:t>
      </w:r>
      <w:r>
        <w:rPr>
          <w:rFonts w:eastAsia="Calibri" w:cs="Times New Roman"/>
          <w:sz w:val="28"/>
          <w:szCs w:val="28"/>
          <w:lang w:eastAsia="ru-RU"/>
        </w:rPr>
        <w:t xml:space="preserve"> - количество светильников на начало принятого расчетного периода, работающих в оптимальном режиме, ед.;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t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опт</w:t>
      </w:r>
      <w:r>
        <w:rPr>
          <w:rFonts w:eastAsia="Calibri" w:cs="Times New Roman"/>
          <w:sz w:val="28"/>
          <w:szCs w:val="28"/>
          <w:lang w:eastAsia="ru-RU"/>
        </w:rPr>
        <w:t xml:space="preserve"> - время работы наружного освещения в оптимальном режиме;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t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ноч</w:t>
      </w:r>
      <w:r>
        <w:rPr>
          <w:rFonts w:eastAsia="Calibri" w:cs="Times New Roman"/>
          <w:sz w:val="28"/>
          <w:szCs w:val="28"/>
          <w:lang w:eastAsia="ru-RU"/>
        </w:rPr>
        <w:t xml:space="preserve"> - время работы наружного освещения в ночном режиме.</w:t>
      </w:r>
    </w:p>
    <w:p>
      <w:pPr>
        <w:pStyle w:val="Normal"/>
        <w:widowControl w:val="false"/>
        <w:suppressAutoHyphens w:val="false"/>
        <w:spacing w:before="240" w:after="0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5. Стоимость работ по эксплуатации объектов наружного освещения определяется по формуле: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Ц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эксп</w:t>
      </w:r>
      <w:r>
        <w:rPr>
          <w:rFonts w:eastAsia="Calibri" w:cs="Times New Roman"/>
          <w:sz w:val="28"/>
          <w:szCs w:val="28"/>
          <w:lang w:eastAsia="ru-RU"/>
        </w:rPr>
        <w:t xml:space="preserve"> = N x t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опт</w:t>
      </w:r>
      <w:r>
        <w:rPr>
          <w:rFonts w:eastAsia="Calibri" w:cs="Times New Roman"/>
          <w:sz w:val="28"/>
          <w:szCs w:val="28"/>
          <w:lang w:eastAsia="ru-RU"/>
        </w:rPr>
        <w:t xml:space="preserve"> x Ц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обсл</w:t>
      </w:r>
      <w:r>
        <w:rPr>
          <w:rFonts w:eastAsia="Calibri" w:cs="Times New Roman"/>
          <w:sz w:val="28"/>
          <w:szCs w:val="28"/>
          <w:lang w:eastAsia="ru-RU"/>
        </w:rPr>
        <w:t>,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где: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Ц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эксп</w:t>
      </w:r>
      <w:r>
        <w:rPr>
          <w:rFonts w:eastAsia="Calibri" w:cs="Times New Roman"/>
          <w:sz w:val="28"/>
          <w:szCs w:val="28"/>
          <w:lang w:eastAsia="ru-RU"/>
        </w:rPr>
        <w:t xml:space="preserve"> - стоимость работ по эксплуатации объектов наружного освещения, руб.;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N - количество светильников, ед.;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t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опт</w:t>
      </w:r>
      <w:r>
        <w:rPr>
          <w:rFonts w:eastAsia="Calibri" w:cs="Times New Roman"/>
          <w:sz w:val="28"/>
          <w:szCs w:val="28"/>
          <w:lang w:eastAsia="ru-RU"/>
        </w:rPr>
        <w:t xml:space="preserve"> - время работы наружного освещения в оптимальном режиме;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Ц</w:t>
      </w:r>
      <w:r>
        <w:rPr>
          <w:rFonts w:eastAsia="Calibri" w:cs="Times New Roman"/>
          <w:sz w:val="28"/>
          <w:szCs w:val="28"/>
          <w:vertAlign w:val="subscript"/>
          <w:lang w:eastAsia="ru-RU"/>
        </w:rPr>
        <w:t>обсл</w:t>
      </w:r>
      <w:r>
        <w:rPr>
          <w:rFonts w:eastAsia="Calibri" w:cs="Times New Roman"/>
          <w:sz w:val="28"/>
          <w:szCs w:val="28"/>
          <w:lang w:eastAsia="ru-RU"/>
        </w:rPr>
        <w:t xml:space="preserve"> - цена эксплуатации одного светильника, руб./час.";</w:t>
      </w:r>
    </w:p>
    <w:p>
      <w:pPr>
        <w:pStyle w:val="Normal"/>
        <w:tabs>
          <w:tab w:val="clear" w:pos="709"/>
          <w:tab w:val="left" w:pos="1728" w:leader="none"/>
        </w:tabs>
        <w:suppressAutoHyphens w:val="fals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uppressAutoHyphens w:val="false"/>
        <w:spacing w:lineRule="atLeast" w:line="220" w:before="0" w:after="1"/>
        <w:ind w:left="5103" w:hanging="0"/>
        <w:jc w:val="right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Приложение 29</w:t>
      </w:r>
    </w:p>
    <w:p>
      <w:pPr>
        <w:pStyle w:val="Normal"/>
        <w:suppressAutoHyphens w:val="false"/>
        <w:spacing w:lineRule="atLeast" w:line="220" w:before="0" w:after="1"/>
        <w:ind w:left="5103" w:hanging="0"/>
        <w:jc w:val="right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 xml:space="preserve">к положению «О бюджетном </w:t>
      </w:r>
    </w:p>
    <w:p>
      <w:pPr>
        <w:pStyle w:val="Normal"/>
        <w:suppressAutoHyphens w:val="false"/>
        <w:spacing w:lineRule="atLeast" w:line="220" w:before="0" w:after="1"/>
        <w:ind w:left="5103" w:hanging="0"/>
        <w:jc w:val="right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процессе в Ровеньском районе»</w:t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МЕТОДИКА РАСПРЕДЕЛЕНИЯ СУБСИДИЙ ИЗ МЕСТНОГО</w:t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БЮДЖЕТА БЮДЖЕТАМ ГОРОДСКОГО И СЕЛЬСКИМ ПОСЕЛЕНИЯМ РОВЕНЬСКОГО РАЙОНА НА РЕАЛИЗАЦИЮ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И БЕСХОЗЯЙНЫХ ГИДРОТЕХНИЧЕСКИХ СООРУЖЕНИЙ)</w:t>
      </w:r>
    </w:p>
    <w:p>
      <w:pPr>
        <w:pStyle w:val="Normal"/>
        <w:widowControl w:val="false"/>
        <w:suppressAutoHyphens w:val="false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1. Объем субсидий из местного бюджета на реализацию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и бесхозяйных гидротехнических сооружений) предусматривается в составе местного бюджета за счет средств областного и местного бюджетов в целях долевого финансирования на очередной финансовый год и плановый период исходя из потребностей бюджетов поселений и возможностей областного и местного бюджетов.</w:t>
      </w:r>
    </w:p>
    <w:p>
      <w:pPr>
        <w:pStyle w:val="Normal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2. Ассигнования на реализацию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и бесхозяйных гидротехнических сооружений) предусматриваются только при условии софинансирования расходов из бюджетов городского, сельских поселений.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3. Объем субсидии, предоставляемой бюджету городского, сельского поселения на осуществление мероприятия, указанного в пункте 1, определяется по следующей формуле: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873125" cy="42418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где: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Сj - размер субсидии в соответствующем году на j-й объект (субсидии за счет средств федерального бюджета (Сfj) и субсидии за счет средств областного бюджета (Сoj), субсидии за счет средств местного бюджета Ровеньского района (С</w:t>
      </w:r>
      <w:r>
        <w:rPr>
          <w:rFonts w:eastAsia="Calibri" w:cs="Times New Roman"/>
          <w:sz w:val="28"/>
          <w:szCs w:val="28"/>
          <w:lang w:val="en-US" w:eastAsia="ru-RU"/>
        </w:rPr>
        <w:t>r</w:t>
      </w:r>
      <w:r>
        <w:rPr>
          <w:rFonts w:eastAsia="Calibri" w:cs="Times New Roman"/>
          <w:sz w:val="28"/>
          <w:szCs w:val="28"/>
          <w:lang w:eastAsia="ru-RU"/>
        </w:rPr>
        <w:t>j).</w:t>
      </w:r>
    </w:p>
    <w:p>
      <w:pPr>
        <w:pStyle w:val="Normal"/>
        <w:widowControl w:val="false"/>
        <w:suppressAutoHyphens w:val="false"/>
        <w:ind w:firstLine="53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Сj определяется по формуле: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Сj = ОПj - Смj,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где: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ОПj - общая потребность в средствах, необходимых в соответствующем году на мероприятия в области использования и охраны водных объектов (капитальный ремонт гидротехнических сооружений, находящихся в муниципальной собственности, и бесхозяйных гидротехнических сооружений) в i-м муниципальном образовании Ровеньского района;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Смj - объем средств бюджета муниципального образования Ровеньского района, предусматриваемых на мер</w:t>
      </w:r>
      <w:bookmarkStart w:id="0" w:name="_GoBack"/>
      <w:bookmarkEnd w:id="0"/>
      <w:r>
        <w:rPr>
          <w:rFonts w:eastAsia="Calibri" w:cs="Times New Roman"/>
          <w:sz w:val="28"/>
          <w:szCs w:val="28"/>
          <w:lang w:eastAsia="ru-RU"/>
        </w:rPr>
        <w:t>оприятия в области использования и охраны водных объектов (капитальный ремонт гидротехнических сооружений, находящихся в муниципальной собственности, и бесхозяйных гидротехнических сооружений) в i-м муниципальном образовании Ровеньского района.».</w:t>
      </w:r>
    </w:p>
    <w:p>
      <w:pPr>
        <w:pStyle w:val="Normal"/>
        <w:spacing w:lineRule="atLeast" w:line="220" w:before="0" w:after="1"/>
        <w:ind w:firstLine="540"/>
        <w:jc w:val="both"/>
        <w:rPr>
          <w:rFonts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eastAsiaTheme="minorHAnsi"/>
          <w:sz w:val="28"/>
          <w:szCs w:val="28"/>
          <w:lang w:eastAsia="en-US"/>
        </w:rPr>
        <w:t xml:space="preserve">2. </w:t>
      </w:r>
      <w:r>
        <w:rPr>
          <w:rFonts w:eastAsia="Calibri" w:cs="Times New Roman" w:eastAsiaTheme="minorHAnsi"/>
          <w:sz w:val="28"/>
          <w:szCs w:val="28"/>
        </w:rPr>
        <w:t>Настоящее решение вступает в силу с 1 января 2024 года</w:t>
      </w:r>
      <w:r>
        <w:rPr>
          <w:rFonts w:eastAsia="Calibri" w:cs="Times New Roman" w:eastAsiaTheme="minorHAnsi"/>
          <w:color w:val="000000" w:themeColor="text1"/>
          <w:sz w:val="28"/>
          <w:szCs w:val="28"/>
          <w:lang w:eastAsia="en-US"/>
        </w:rPr>
        <w:t>.</w:t>
      </w:r>
    </w:p>
    <w:p>
      <w:pPr>
        <w:pStyle w:val="Normal"/>
        <w:spacing w:lineRule="atLeast" w:line="220" w:before="0" w:after="1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 w:eastAsiaTheme="minorHAnsi"/>
          <w:color w:val="000000" w:themeColor="text1"/>
          <w:sz w:val="28"/>
          <w:szCs w:val="28"/>
          <w:lang w:eastAsia="en-US"/>
        </w:rPr>
        <w:t xml:space="preserve">3. </w:t>
      </w:r>
      <w:r>
        <w:rPr>
          <w:rFonts w:eastAsia="Calibri" w:eastAsiaTheme="minorHAnsi"/>
          <w:color w:val="000000" w:themeColor="text1"/>
          <w:sz w:val="28"/>
          <w:szCs w:val="28"/>
        </w:rPr>
        <w:t>Контроль за исполнением настоящ</w:t>
      </w:r>
      <w:r>
        <w:rPr>
          <w:rFonts w:eastAsia="Calibri" w:eastAsiaTheme="minorHAnsi"/>
          <w:color w:val="000000"/>
          <w:sz w:val="28"/>
          <w:szCs w:val="28"/>
        </w:rPr>
        <w:t xml:space="preserve">его решения возложить </w:t>
      </w:r>
      <w:r>
        <w:rPr>
          <w:rFonts w:eastAsia="Calibri" w:eastAsiaTheme="minorHAnsi"/>
          <w:sz w:val="28"/>
          <w:szCs w:val="28"/>
        </w:rPr>
        <w:t>на постоянную комиссию по экономическому развитию, бюджету и налогам Муниципального совета  Ровеньского района.</w:t>
      </w:r>
    </w:p>
    <w:p>
      <w:pPr>
        <w:pStyle w:val="ConsNonformat"/>
        <w:widowControl/>
        <w:ind w:right="0"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Nonformat"/>
        <w:widowControl/>
        <w:ind w:right="0"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Nonformat"/>
        <w:widowControl/>
        <w:ind w:right="0" w:hanging="0"/>
        <w:rPr/>
      </w:pPr>
      <w:r>
        <w:rPr>
          <w:rFonts w:eastAsia="Calibri" w:cs="Times New Roman" w:ascii="Times New Roman" w:hAnsi="Times New Roman" w:eastAsiaTheme="minorHAnsi"/>
          <w:b/>
          <w:sz w:val="28"/>
          <w:szCs w:val="28"/>
        </w:rPr>
        <w:t>Председатель Муниципального совета</w:t>
      </w:r>
    </w:p>
    <w:p>
      <w:pPr>
        <w:pStyle w:val="ConsNonformat"/>
        <w:widowControl/>
        <w:ind w:right="0" w:hanging="0"/>
        <w:rPr/>
      </w:pPr>
      <w:r>
        <w:rPr>
          <w:rFonts w:eastAsia="Calibri" w:cs="Times New Roman" w:ascii="Times New Roman" w:hAnsi="Times New Roman" w:eastAsiaTheme="minorHAnsi"/>
          <w:b/>
          <w:sz w:val="28"/>
          <w:szCs w:val="28"/>
        </w:rPr>
        <w:tab/>
        <w:t xml:space="preserve">    Ровеньского района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ab/>
        <w:tab/>
        <w:tab/>
        <w:tab/>
        <w:t xml:space="preserve">                  </w:t>
      </w:r>
      <w:r>
        <w:rPr>
          <w:rFonts w:eastAsia="Calibri" w:cs="Times New Roman" w:ascii="Times New Roman" w:hAnsi="Times New Roman" w:eastAsiaTheme="minorHAnsi"/>
          <w:b/>
          <w:sz w:val="28"/>
          <w:szCs w:val="28"/>
        </w:rPr>
        <w:t>В.А. Некрасов</w:t>
      </w:r>
    </w:p>
    <w:sectPr>
      <w:type w:val="nextPage"/>
      <w:pgSz w:w="11906" w:h="16838"/>
      <w:pgMar w:left="1418" w:right="707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b w:val="false"/>
        <w:szCs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bidi="ar-SA" w:val="ru-RU" w:eastAsia="zh-C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-">
    <w:name w:val="Hyperlink"/>
    <w:basedOn w:val="DefaultParagraphFont"/>
    <w:uiPriority w:val="99"/>
    <w:semiHidden/>
    <w:unhideWhenUsed/>
    <w:rsid w:val="004d2ee2"/>
    <w:rPr>
      <w:color w:val="0000FF"/>
      <w:u w:val="single"/>
    </w:rPr>
  </w:style>
  <w:style w:type="character" w:styleId="Style5" w:customStyle="1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Style6" w:customStyle="1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11" w:customStyle="1">
    <w:name w:val="Оглавление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WW8Num1z0" w:customStyle="1">
    <w:name w:val="WW8Num1z0"/>
    <w:qFormat/>
    <w:rPr>
      <w:rFonts w:ascii="Times New Roman" w:hAnsi="Times New Roman" w:cs="Times New Roman"/>
      <w:b w:val="false"/>
      <w:sz w:val="28"/>
      <w:szCs w:val="28"/>
    </w:rPr>
  </w:style>
  <w:style w:type="character" w:styleId="WW8Num1z1" w:customStyle="1">
    <w:name w:val="WW8Num1z1"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Tahoma" w:hAnsi="Tahoma"/>
      <w:sz w:val="16"/>
      <w:szCs w:val="14"/>
    </w:rPr>
  </w:style>
  <w:style w:type="character" w:styleId="2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42" w:customStyle="1">
    <w:name w:val="Заголовок №4_"/>
    <w:basedOn w:val="DefaultParagraphFont"/>
    <w:qFormat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43" w:customStyle="1">
    <w:name w:val="Заголовок №4 + Не полужирный"/>
    <w:basedOn w:val="42"/>
    <w:qFormat/>
    <w:rPr>
      <w:rFonts w:ascii="Times New Roman" w:hAnsi="Times New Roman" w:eastAsia="Times New Roman" w:cs="Times New Roman"/>
      <w:b/>
      <w:bCs/>
      <w:color w:val="000000"/>
      <w:spacing w:val="0"/>
      <w:sz w:val="28"/>
      <w:szCs w:val="28"/>
      <w:shd w:fill="FFFFFF" w:val="clear"/>
      <w:lang w:val="ru-RU" w:eastAsia="ru-RU" w:bidi="ru-RU"/>
    </w:rPr>
  </w:style>
  <w:style w:type="paragraph" w:styleId="Style9" w:customStyle="1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/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4" w:customStyle="1">
    <w:name w:val="Верхний и нижний колонтитулы"/>
    <w:basedOn w:val="Normal"/>
    <w:qFormat/>
    <w:pPr/>
    <w:rPr/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17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61" w:customStyle="1">
    <w:name w:val="Заголовок 61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11" w:customStyle="1">
    <w:name w:val="Заголовок 1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1" w:customStyle="1">
    <w:name w:val="Заголовок 21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1" w:customStyle="1">
    <w:name w:val="Заголовок 41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 w:customStyle="1">
    <w:name w:val="Оглавление 2 Знак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512" w:customStyle="1">
    <w:name w:val="Заголовок 5 Знак1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2" w:customStyle="1">
    <w:name w:val="Название объекта1"/>
    <w:basedOn w:val="Normal"/>
    <w:qFormat/>
    <w:pPr>
      <w:suppressLineNumbers/>
      <w:spacing w:before="120" w:after="120"/>
    </w:pPr>
    <w:rPr>
      <w:i/>
      <w:iCs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3" w:customStyle="1">
    <w:name w:val="Верхний колонтитул1"/>
    <w:basedOn w:val="Normal"/>
    <w:uiPriority w:val="99"/>
    <w:unhideWhenUsed/>
    <w:qFormat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14" w:customStyle="1">
    <w:name w:val="Нижний колонтитул1"/>
    <w:basedOn w:val="Normal"/>
    <w:uiPriority w:val="99"/>
    <w:unhideWhenUsed/>
    <w:qFormat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5">
    <w:name w:val="TOC 1"/>
    <w:basedOn w:val="Normal"/>
    <w:uiPriority w:val="39"/>
    <w:unhideWhenUsed/>
    <w:pPr>
      <w:spacing w:before="0" w:after="57"/>
    </w:pPr>
    <w:rPr/>
  </w:style>
  <w:style w:type="paragraph" w:styleId="24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4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22">
    <w:name w:val="Index Heading"/>
    <w:basedOn w:val="Style9"/>
    <w:pPr/>
    <w:rPr/>
  </w:style>
  <w:style w:type="paragraph" w:styleId="Style23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bidi="ar-SA" w:val="ru-RU" w:eastAsia="zh-CN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bidi="ar-SA" w:val="ru-RU" w:eastAsia="zh-CN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/>
      <w:sz w:val="16"/>
      <w:szCs w:val="1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eastAsia="ru-RU" w:bidi="ar-SA" w:val="ru-RU"/>
    </w:rPr>
  </w:style>
  <w:style w:type="paragraph" w:styleId="25" w:customStyle="1">
    <w:name w:val="Основной текст (2)"/>
    <w:basedOn w:val="Normal"/>
    <w:qFormat/>
    <w:pPr>
      <w:widowControl w:val="false"/>
      <w:shd w:val="clear" w:color="auto" w:fill="FFFFFF"/>
      <w:spacing w:lineRule="exact" w:line="322"/>
      <w:jc w:val="right"/>
    </w:pPr>
    <w:rPr>
      <w:rFonts w:eastAsia="Times New Roman" w:cs="Times New Roman"/>
      <w:sz w:val="28"/>
      <w:szCs w:val="28"/>
    </w:rPr>
  </w:style>
  <w:style w:type="paragraph" w:styleId="45" w:customStyle="1">
    <w:name w:val="Заголовок №4"/>
    <w:basedOn w:val="Normal"/>
    <w:qFormat/>
    <w:pPr>
      <w:widowControl w:val="false"/>
      <w:shd w:val="clear" w:color="auto" w:fill="FFFFFF"/>
      <w:spacing w:lineRule="exact" w:line="317"/>
      <w:jc w:val="both"/>
      <w:outlineLvl w:val="3"/>
    </w:pPr>
    <w:rPr>
      <w:rFonts w:eastAsia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2A2FCD8-08D9-422B-BEE7-D8654F86E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LibreOffice/7.5.4.2$Windows_X86_64 LibreOffice_project/36ccfdc35048b057fd9854c757a8b67ec53977b6</Application>
  <AppVersion>15.0000</AppVersion>
  <Pages>4</Pages>
  <Words>866</Words>
  <Characters>5630</Characters>
  <CharactersWithSpaces>6480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2023-12-21T14:40:00Z</dcterms:created>
  <dc:creator>Елена А. Мягкая</dc:creator>
  <dc:description/>
  <dc:language>ru-RU</dc:language>
  <cp:lastModifiedBy/>
  <cp:lastPrinted>2023-12-22T08:42:19Z</cp:lastPrinted>
  <dcterms:modified xsi:type="dcterms:W3CDTF">2023-12-22T08:42:22Z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