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nos" w:hAnsi="Tinos" w:cs="Tinos" w:eastAsia="Tinos"/>
          <w:sz w:val="28"/>
          <w:szCs w:val="28"/>
        </w:rPr>
        <w:t xml:space="preserve">  Контрольно-счетной комиссией  Ровеньского района  в  соответствии с планом работы на 2024 год, проведена проверка </w:t>
      </w:r>
      <w:r>
        <w:rPr>
          <w:rFonts w:ascii="Tinos" w:hAnsi="Tinos" w:cs="Tinos" w:eastAsia="Tinos"/>
          <w:b/>
          <w:sz w:val="28"/>
        </w:rPr>
        <w:t xml:space="preserve">  </w:t>
      </w:r>
      <w:r>
        <w:rPr>
          <w:rFonts w:ascii="Tinos" w:hAnsi="Tinos" w:cs="Tinos" w:eastAsia="Tinos"/>
          <w:b w:val="false"/>
          <w:sz w:val="28"/>
        </w:rPr>
        <w:t xml:space="preserve"> финансово-хозяйственной деятельности в МКУ «Административно-хозяйственная служба обеспечения деятельности органов местного самоуправления Верхнесеребрянского сельского поселения муниципального района «Ровеньский район» Белгородской области»</w:t>
      </w:r>
      <w:r>
        <w:rPr>
          <w:rFonts w:ascii="Tinos" w:hAnsi="Tinos" w:cs="Tinos" w:eastAsia="Tinos"/>
          <w:b w:val="false"/>
          <w:sz w:val="28"/>
          <w:szCs w:val="28"/>
        </w:rPr>
        <w:t xml:space="preserve">    за 2023год и истекший период 2024 года.  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проверки установлено.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  <w:t xml:space="preserve"> Устав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«Верхнесеребрянская  АХС»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содержит не актуальные данные  по вопросу утверждения бюджетной сметы учреждения: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-в  «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ст.4.2. К  компетенции Учредителя в области управления Учреждением относится :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Утверждение бюджетной сметы Учреждения»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</w:rPr>
        <w:t xml:space="preserve">   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Бюджетная смета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«Верхнесеребрянкая АХС»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(Ф. 0501012)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 2023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год и плановый период 2024 и 2025 годов 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утвержд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от 09.01.2023год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в сумм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  2448,0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исполнена в сумме 2445,9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ыс.рублей  или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99,9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%,  в том числе расходы на оплату труда  составили 1659,3 тыс.рублей или 99,9%, расходы на закупку  товаров, работ, услуг -    294,8тыс.рублей или 99,9%.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В ходе проверки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оплаты труда работников установлено неэффективное использование средств на  выплату заработной платы  в сумме 203,04тыс.рублей в том числе по должности  «уборщица»  -143,75 тыс.рублей,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«оператор  газовых  котельных» - 59,29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тыс.рублей.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 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В положении по оплате труда работников , включены не все виды выплат стимулирующего характера, направленные на стимулирование  работников к качественному результату труда по должности «уборщица» , согласно  перечня </w:t>
      </w:r>
      <w:r>
        <w:rPr>
          <w:rFonts w:ascii="Tinos" w:hAnsi="Tinos" w:cs="Tinos" w:eastAsia="Tinos" w:eastAsiaTheme="minorHAnsi"/>
          <w:b w:val="false"/>
          <w:color w:val="auto"/>
          <w:sz w:val="28"/>
          <w:highlight w:val="none"/>
        </w:rPr>
        <w:t xml:space="preserve">видов выплат стимулирующего характера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В нарушение ч.6 ст.3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8 Федерального закона №44-ФЗ контрактный управляющий Пономарева Н.Г. не имеет высшего образования, повышения квалификации в сфере закупок не проходила.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color w:val="auto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В  нарушение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п.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7 ст.94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приемка товара (работ, услуг)  на соответствие условиям контракта осуществлялась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без  оформления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документов о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результатах  проведенной экспертизы о приемке товаров (работ,услуг)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По результатам проведенного контрольного мероприятия были направлены: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- представ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ление  начальнику МКУ «Вехнесеребрянская  АХС»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;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-информационное письмо  главе администрации  Верхнесеребрянского сельского      поселения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.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2024-11-07T12:35:32Z</dcterms:modified>
</cp:coreProperties>
</file>