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Об утверждении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административного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«</w:t>
      </w:r>
      <w:r>
        <w:rPr>
          <w:rFonts w:ascii="Times New Roman" w:hAnsi="Times New Roman" w:cs="Times New Roman" w:eastAsia="Times New Roman"/>
          <w:bCs/>
          <w:sz w:val="24"/>
          <w:szCs w:val="26"/>
          <w:u w:val="single"/>
          <w:lang w:bidi="ru-RU" w:eastAsia="zh-CN"/>
        </w:rPr>
        <w:t xml:space="preserve">Прием заявлений и выдача документов о согласовании схем расположения земельного участка на кадастровом плане или на кадастровой карте</w:t>
      </w:r>
      <w:r>
        <w:rPr>
          <w:rFonts w:ascii="Times New Roman" w:hAnsi="Times New Roman" w:cs="Times New Roman" w:eastAsia="Times New Roman"/>
          <w:bCs/>
          <w:sz w:val="24"/>
          <w:szCs w:val="26"/>
          <w:u w:val="single"/>
          <w:lang w:bidi="ru-RU" w:eastAsia="zh-CN"/>
        </w:rPr>
        <w:t xml:space="preserve">  на территории Ровеньского района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15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8</cp:revision>
  <dcterms:created xsi:type="dcterms:W3CDTF">2021-12-17T13:43:00Z</dcterms:created>
  <dcterms:modified xsi:type="dcterms:W3CDTF">2023-06-14T06:08:08Z</dcterms:modified>
</cp:coreProperties>
</file>