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32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32"/>
          <w:highlight w:val="white"/>
        </w:rPr>
        <w:t>Р О С С И Й С К А Я   Ф Е Д Е Р А Ц И Я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32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32"/>
          <w:highlight w:val="white"/>
        </w:rPr>
        <w:t>Б Е Л Г О Р О Д С К А Я    О Б Л А С Т 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16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16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4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16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16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МУНИЦИПАЛЬНЫЙ СОВЕТ МУНИЦИПАЛЬНОГО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«РОВЕНЬСКИЙ РАЙОН»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ЧЕТВЁРТОГО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СОЗЫВА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4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Р Е Ш Е Н И Е             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highlight w:val="white"/>
        </w:rPr>
      </w:r>
    </w:p>
    <w:p>
      <w:pPr>
        <w:pStyle w:val="Normal"/>
        <w:jc w:val="left"/>
        <w:rPr/>
      </w:pPr>
      <w:r>
        <w:rPr>
          <w:b/>
          <w:bCs/>
          <w:sz w:val="28"/>
        </w:rPr>
        <w:t>26 января</w:t>
      </w:r>
      <w:r>
        <w:rPr>
          <w:b/>
          <w:bCs/>
          <w:sz w:val="28"/>
        </w:rPr>
        <w:t xml:space="preserve"> 2024 г. </w:t>
      </w:r>
      <w:r>
        <w:rPr>
          <w:b/>
          <w:sz w:val="28"/>
        </w:rPr>
        <w:t xml:space="preserve">            </w:t>
        <w:tab/>
        <w:t xml:space="preserve">                                                                     № </w:t>
      </w:r>
      <w:r>
        <w:rPr>
          <w:b/>
          <w:bCs/>
          <w:sz w:val="28"/>
        </w:rPr>
        <w:t>5</w:t>
      </w:r>
      <w:r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  <w:r>
        <w:rPr>
          <w:b/>
          <w:bCs/>
          <w:sz w:val="28"/>
        </w:rPr>
        <w:t>7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tbl>
      <w:tblPr>
        <w:tblW w:w="52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</w:tblGrid>
      <w:tr>
        <w:trPr>
          <w:trHeight w:val="1356" w:hRule="atLeast"/>
        </w:trPr>
        <w:tc>
          <w:tcPr>
            <w:tcW w:w="5210" w:type="dxa"/>
            <w:tcBorders/>
          </w:tcPr>
          <w:p>
            <w:pPr>
              <w:pStyle w:val="Style12"/>
              <w:widowControl w:val="false"/>
              <w:spacing w:lineRule="exact" w:line="283" w:before="0" w:after="14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Муниципального совета Ровеньского района от 20 августа 2021 года №39/295 «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Об утверждении Положения о муниципальном жилищном контроле на территории Ровеньского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2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2"/>
          <w:highlight w:val="white"/>
        </w:rPr>
      </w:r>
    </w:p>
    <w:p>
      <w:pPr>
        <w:pStyle w:val="Normal"/>
        <w:spacing w:lineRule="auto" w:line="240" w:before="0" w:afterAutospacing="0" w:after="6"/>
        <w:ind w:right="-170" w:firstLine="540"/>
        <w:jc w:val="both"/>
        <w:rPr>
          <w:rFonts w:ascii="Times New Roman" w:hAnsi="Times New Roman" w:eastAsia="Times New Roman" w:cs="Times New Roman"/>
          <w:b/>
          <w:color w:val="000000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6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31 июня 2020 года №248-ФЗ «О государственном контроле (надзоре) и муниципальном контроле в Российской Федерации», руководствуясь Уставом муниципального района «Ровеньский район» Белгородской области, Муниципальный совет Ровеньского района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 е ш и л:</w:t>
      </w:r>
    </w:p>
    <w:p>
      <w:pPr>
        <w:pStyle w:val="Style12"/>
        <w:widowControl w:val="false"/>
        <w:spacing w:lineRule="auto" w:line="240" w:before="0" w:afterAutospacing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1. Внести в решение Муниципального совета Ровеньского района от 20 августа 2021 года №39/295 «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Об утверждении Положения о муниципальном жилищном контроле на территории Ровеньского района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highlight w:val="white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следующие изменения:</w:t>
      </w:r>
    </w:p>
    <w:p>
      <w:pPr>
        <w:pStyle w:val="Normal"/>
        <w:spacing w:lineRule="auto" w:line="240" w:before="0" w:afterAutospacing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 пункт 1.5. изложить в новой редакции:</w:t>
      </w:r>
    </w:p>
    <w:p>
      <w:pPr>
        <w:pStyle w:val="Normal"/>
        <w:spacing w:lineRule="auto" w:line="240" w:before="0" w:afterAutospacing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«1.5. Должностным лицом, уполномоченным на осуществление муниципального контроля (инспектором) является специалист отдела  ЖКХ и благоустройства уполномоченного органа и должностные лица городского и сельских поселений администраций Ровеньского района (по согласованию), в обязанности которых входит осуществление муниципального жилищного контроля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на территории Ровеньского района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в соответствии с должностными инструкциями (далее - инспекторы).»</w:t>
      </w:r>
    </w:p>
    <w:p>
      <w:pPr>
        <w:pStyle w:val="Normal"/>
        <w:spacing w:lineRule="auto" w:line="240" w:before="0" w:afterAutospacing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 добавить пункт 1.12. следующего содержания:</w:t>
      </w:r>
    </w:p>
    <w:p>
      <w:pPr>
        <w:pStyle w:val="Normal"/>
        <w:spacing w:lineRule="auto" w:line="240" w:before="0" w:afterAutospacing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«1.12. Инспекторы при осуществлении муниципального жилищного контроля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на территории Ровеньского района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Белгородской области, органами местного самоуправления, правоохранительными органами, организациями и гражданами.»</w:t>
      </w:r>
    </w:p>
    <w:p>
      <w:pPr>
        <w:pStyle w:val="ConsPlusNormal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3) раздел 3 изложить в новой редакции:</w:t>
      </w:r>
    </w:p>
    <w:p>
      <w:pPr>
        <w:pStyle w:val="ConsPlusNormal"/>
        <w:shd w:val="clear" w:color="FFFFFF" w:themeColor="background1" w:fill="FFFFFF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«3.1.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обязательных требований до контролируемых лиц, способов их соблюдения.</w:t>
      </w:r>
    </w:p>
    <w:p>
      <w:pPr>
        <w:pStyle w:val="ConsPlusNormal"/>
        <w:shd w:val="clear" w:color="FFFFFF" w:themeColor="background1" w:fill="FFFFFF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3.2. При осуществлении муниципального жилищного контроля проведени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контрольных мероприятий.</w:t>
      </w:r>
    </w:p>
    <w:p>
      <w:pPr>
        <w:pStyle w:val="ConsPlusNormal"/>
        <w:shd w:val="clear" w:color="FFFFFF" w:themeColor="background1" w:fill="FFFFFF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 xml:space="preserve">3.3. Профилактические мероприятия осуществляются в соответствии 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с ежегодно утверждаемой в порядке, установленном Правительством Российской Федерации, программой профилактики рисков причинения вреда (ущерба) охраняемым законом ценностям (далее - программа профилактики рисков причинения вреда (ущерба)). Утвержденная программа профилактики рисков причинения вреда (ущерба) размещается на официальном сайте органов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местного самоуправления Ровеньского района в сети «Интернет».</w:t>
      </w:r>
    </w:p>
    <w:p>
      <w:pPr>
        <w:pStyle w:val="ConsPlusNormal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3.4. Контрольным органом при осуществлении муниципального жилищног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о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контроля могут проводиться следующие виды профилактических мероприятий: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информирование;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объявление предостережения;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консультирование;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профилактический визит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обобщение правоприменительной практики.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 xml:space="preserve">3.5. Информирование осуществляется Контрольным органом 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Ровеньского района в сети «Интернет», в средствах массовой информации, через личные кабинеты контролируемых лиц в государственных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информационных системах (при их наличии) и в иных формах.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3.6. Предостережение о недопустимости нарушения обязательны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предложение о принятии мер по обеспечению соблюдения обязательны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требований.</w:t>
      </w:r>
    </w:p>
    <w:p>
      <w:pPr>
        <w:pStyle w:val="ConsPlusNormal"/>
        <w:shd w:val="clear" w:color="FFFFFF" w:themeColor="background1" w:fill="FFFFFF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3.6.1. Предостережение о недопустимости нарушения обязательных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требований составляется по форме, утвержденной Приказом Минэкономразвития России от 31 марта 2021 года № 151 «О типовых формах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документов, используемых контрольным (надзорным) органом».</w:t>
      </w:r>
    </w:p>
    <w:p>
      <w:pPr>
        <w:pStyle w:val="ConsPlusNormal"/>
        <w:shd w:val="clear" w:color="FFFFFF" w:themeColor="background1" w:fill="FFFFFF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3.6.2. Объявляемые предостережения о недопустимости нарушени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я обязательных требований регистрируются в журнале учета предостережений с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присвоением регистрационного номера.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 xml:space="preserve">3.6.3. В случае объявления Контрольным органом предостережения 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соответствующие обоснования.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 Консультирование контролируемых лиц и их представителе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й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осуществляется должностным лицом Контрольного органа: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 виде устных разъяснений по телефону, посредством видео-конференц-связи, на личном приеме либо в ходе проведения профилактическог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о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мероприятия, контрольного мероприятия и не должно превышать 15 минут;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 виде письменных разъяснений;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посредством размещения на официальном сайте органов местно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го самоуправления администрации Ровеньского района в сети «Интернет» письменного разъяснения, подписанного руководителем Контрольного органа, по однотипным обращениям (более пяти однотипных обращений)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контролируемых лиц и их представителей.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3.7.1. Устное консультирование осуществляется по следующим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вопросам: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организация и осуществление муниципального жилищного контроля;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порядок осуществления контрольных мероприятий, установленных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настоящим Положением;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порядок обжалования действий (бездействия) должностных лиц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Контрольного органа;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получение информации о нормативных правовых актах (их отдельны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х положениях), содержащих обязательные требования, оценка соблюдения которых осуществляется Контрольным органом в рамках контрольных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мероприятий.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3.7.2. Консультирование в письменной форме осуществляется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должностным лицом Контрольного органа в следующих случаях: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контролируемым лицом представлен письменный запрос о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представлении письменного ответа по вопросам консультирования;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за время консультирования предоставить ответ на поставленные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вопросы невозможно;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ответ на поставленные вопросы требует дополнительного запроса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сведений.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3.7.3. При осуществлении консультирования должностное лиц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о Контрольного органа обязано соблюдать конфиденциальность информации, доступ к которой ограничен в соответствии с законодательством Российской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Федерации.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3.7.4. В ходе консультирования не может предоставляться информаци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проведенной в рамках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контрольного мероприятия экспертизы.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3.7.5. Информация, ставшая известной должностному лиц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у Контрольного органа в ходе консультирования, не может использоваться Контрольным органом в целях оценки контролируемого лица по вопросам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соблюдения обязательных требований.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3.7.6. Контрольным органом осуществляется учет проведенны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консультирований.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3.8. Орган муниципального жилищного контроля рассматрива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жилищного контроля, категории риска объекта контроля, о чем уведомляет контролируемое лицо.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категории риска.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3.8.1. В ходе профилактического визита инспектором осуществляется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консультирование контролируемого лица, а также сбор сведений, необходимых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для отнесения объектов контроля к категории риска.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3.8.2. При проведении профилактического визита контролируемы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м лицам не выдаются предписания об устранении нарушений обязательных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требований.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3.8.3. Орган муниципального контроля принимает решение об отказе в проведении профилактического визита по заявлению контролируемого лица по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одному из следующих оснований: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 xml:space="preserve">от контролируемого лица поступило заявление об отзыве заявления 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о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проведении профилактического визита;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 течение двух месяцев до даты подачи заявления контролируемого лица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контрольным (надзорным) органом было принято решение об отказе в проведении профилактического визита в отношении данного контролируемого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лица;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 течение шести месяцев до даты подачи заявления контролируемо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невозможность проведения профилактического визита;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заявление контролируемого лица содержит нецензурные либо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оскорбительные выражения, угрозы жизни, здоровью и имуществу должностных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лиц контрольного (надзорного) органа либо членов их семей.</w:t>
      </w:r>
    </w:p>
    <w:p>
      <w:pPr>
        <w:pStyle w:val="ConsPlusNormal"/>
        <w:spacing w:lineRule="auto" w:line="240"/>
        <w:ind w:left="0" w:right="0" w:firstLine="992"/>
        <w:jc w:val="both"/>
        <w:rPr>
          <w:rFonts w:ascii="Times New Roman" w:hAnsi="Times New Roman" w:eastAsia="Times New Roman" w:cs="Times New Roman"/>
          <w:b w:val="false"/>
          <w:sz w:val="28"/>
          <w:highlight w:val="white"/>
        </w:rPr>
      </w:pP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В случае принятия решения о проведении профилактического визита по</w:t>
      </w:r>
      <w:r>
        <w:rPr>
          <w:rFonts w:eastAsia="Times New Roman" w:cs="Times New Roman"/>
          <w:b w:val="false"/>
          <w:sz w:val="28"/>
          <w:highlight w:val="white"/>
          <w:shd w:fill="FFFFFF" w:val="clear"/>
        </w:rPr>
        <w:t xml:space="preserve"> заявлению контролируемого лица орган муниципального жилищного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</w:t>
      </w:r>
      <w:r>
        <w:rPr>
          <w:rFonts w:eastAsia="Times New Roman" w:cs="Times New Roman"/>
          <w:b w:val="false"/>
          <w:sz w:val="28"/>
          <w:highlight w:val="white"/>
          <w:shd w:fill="FFFF00" w:val="clear"/>
        </w:rPr>
        <w:t>причинения вреда (ущерба) охраняемым законом ценностям.»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b w:val="false"/>
          <w:sz w:val="28"/>
          <w:highlight w:val="white"/>
          <w:shd w:fill="FFFF00" w:val="clear"/>
        </w:rPr>
        <w:t>3.9.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 уполномоченного органа (далее - доклад о правоприменительной практике).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3.9.1. Доклад о правоприменительной практике готовится уполномоченного органом с периодичностью один раза в год. Уполномоченный орган обеспечивает публичное обсуждение проекта доклада о правоприменительной практике.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3.9.2. Доклад о правоприменительной практике утверждается распоряжением уполномоченного органа в срок до 1 февраля года, следующего за отчетным и размещается на официальном сайте органов местного самоуправления Ровеньского района в сети «Интернет» в срок до 1 марта года, следующего за отчетным.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3.9.3. Результаты обобщения правоприменительной практики включаются в ежегодный доклад уполномоченного органа о состоянии муниципального контроля.»</w:t>
      </w:r>
    </w:p>
    <w:p>
      <w:pPr>
        <w:pStyle w:val="Normal"/>
        <w:spacing w:lineRule="auto" w:line="240"/>
        <w:ind w:left="0" w:right="0" w:firstLine="113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приложение №1 к Положению о муниципальном жилищном контроле на территории Ровеньского района изложить в новой редакции:</w:t>
      </w:r>
    </w:p>
    <w:p>
      <w:pPr>
        <w:pStyle w:val="ConsPlusNormal"/>
        <w:numPr>
          <w:ilvl w:val="0"/>
          <w:numId w:val="0"/>
        </w:numPr>
        <w:spacing w:lineRule="auto" w:line="192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pStyle w:val="ConsPlusNormal"/>
        <w:numPr>
          <w:ilvl w:val="0"/>
          <w:numId w:val="0"/>
        </w:numPr>
        <w:spacing w:lineRule="auto" w:line="192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pStyle w:val="ConsPlusNormal"/>
        <w:numPr>
          <w:ilvl w:val="0"/>
          <w:numId w:val="0"/>
        </w:numPr>
        <w:spacing w:lineRule="auto" w:line="192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pStyle w:val="ConsPlusNormal"/>
        <w:numPr>
          <w:ilvl w:val="0"/>
          <w:numId w:val="0"/>
        </w:numPr>
        <w:spacing w:lineRule="auto" w:line="192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pStyle w:val="ConsPlusNormal"/>
        <w:numPr>
          <w:ilvl w:val="0"/>
          <w:numId w:val="0"/>
        </w:numPr>
        <w:spacing w:lineRule="auto" w:line="192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pStyle w:val="ConsPlusNormal"/>
        <w:numPr>
          <w:ilvl w:val="0"/>
          <w:numId w:val="0"/>
        </w:numPr>
        <w:spacing w:lineRule="auto" w:line="192"/>
        <w:ind w:left="0" w:right="0" w:hanging="0"/>
        <w:jc w:val="right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/>
          <w:sz w:val="28"/>
          <w:szCs w:val="28"/>
          <w:highlight w:val="white"/>
          <w:shd w:fill="FFFF00" w:val="clear"/>
        </w:rPr>
        <w:t>«Приложение № 1</w:t>
      </w:r>
    </w:p>
    <w:p>
      <w:pPr>
        <w:pStyle w:val="Normal"/>
        <w:shd w:val="nil" w:color="00000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к Положению о муниципальном </w:t>
      </w:r>
    </w:p>
    <w:p>
      <w:pPr>
        <w:pStyle w:val="Normal"/>
        <w:shd w:val="nil" w:color="00000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жилищном контроле на территории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shd w:fill="FFFF00" w:val="clear"/>
        </w:rPr>
        <w:t>Ровеньского района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hd w:val="nil" w:color="000000"/>
        <w:spacing w:lineRule="exact" w:line="283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/>
          <w:i w:val="false"/>
          <w:i w:val="false"/>
          <w:highlight w:val="white"/>
        </w:rPr>
      </w:pPr>
      <w:r>
        <w:rPr>
          <w:rFonts w:eastAsia="Times New Roman" w:cs="Times New Roman" w:ascii="Times New Roman" w:hAnsi="Times New Roman"/>
          <w:b/>
          <w:i w:val="false"/>
          <w:sz w:val="28"/>
          <w:szCs w:val="28"/>
          <w:highlight w:val="white"/>
        </w:rPr>
        <w:t>Индикаторы риска нарушения обязательных требований</w:t>
      </w:r>
      <w:r>
        <w:rPr>
          <w:rFonts w:eastAsia="Times New Roman" w:cs="Times New Roman" w:ascii="Times New Roman" w:hAnsi="Times New Roman"/>
          <w:b/>
          <w:bCs/>
          <w:i w:val="false"/>
          <w:sz w:val="28"/>
          <w:szCs w:val="28"/>
          <w:highlight w:val="white"/>
        </w:rPr>
        <w:t xml:space="preserve">, </w:t>
      </w:r>
    </w:p>
    <w:p>
      <w:pPr>
        <w:pStyle w:val="Normal"/>
        <w:shd w:val="nil" w:color="000000"/>
        <w:spacing w:lineRule="exact" w:line="283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sz w:val="28"/>
          <w:szCs w:val="28"/>
          <w:highlight w:val="white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>
      <w:pPr>
        <w:pStyle w:val="Normal"/>
        <w:shd w:val="nil" w:color="000000"/>
        <w:spacing w:lineRule="auto" w:line="240" w:before="0" w:after="0"/>
        <w:ind w:left="0" w:right="0" w:firstLine="1134"/>
        <w:contextualSpacing/>
        <w:jc w:val="both"/>
        <w:rPr>
          <w:b w:val="false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z w:val="28"/>
          <w:szCs w:val="28"/>
        </w:rPr>
        <w:t>1. Двукратный и более рост количества обращений за шесть месяцев в сравнении с предшествующим аналогичным периодом,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>
      <w:pPr>
        <w:pStyle w:val="Normal"/>
        <w:shd w:val="nil" w:color="000000"/>
        <w:spacing w:lineRule="auto" w:line="240" w:before="0" w:after="0"/>
        <w:ind w:left="0" w:right="0" w:firstLine="1134"/>
        <w:contextualSpacing/>
        <w:jc w:val="both"/>
        <w:rPr>
          <w:b w:val="false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z w:val="28"/>
          <w:szCs w:val="28"/>
        </w:rPr>
        <w:t>2. Неоднократные (два и более) случаи аварий, произошедших на одном и том же объекте муниципального жилищного контроля, в течение шести месяцев.»</w:t>
      </w:r>
    </w:p>
    <w:p>
      <w:pPr>
        <w:pStyle w:val="Normal"/>
        <w:spacing w:lineRule="auto" w:line="240" w:before="0" w:afterAutospacing="0" w:after="0"/>
        <w:ind w:left="0" w:right="0" w:firstLine="1134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2. Опубликовать настоящее решение в газете «Ровеньская нива».</w:t>
      </w:r>
    </w:p>
    <w:p>
      <w:pPr>
        <w:pStyle w:val="Normal"/>
        <w:spacing w:lineRule="auto" w:line="240" w:before="0" w:afterAutospacing="0" w:after="0"/>
        <w:ind w:left="0" w:right="0" w:firstLine="1134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3. Настоящее решение вступает в силу со дня его официального опубликования.</w:t>
      </w:r>
    </w:p>
    <w:p>
      <w:pPr>
        <w:pStyle w:val="Normal"/>
        <w:spacing w:lineRule="auto" w:line="240" w:before="0" w:afterAutospacing="0" w:after="0"/>
        <w:ind w:firstLine="540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Autospacing="0" w:after="0"/>
        <w:ind w:firstLine="540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</w:r>
    </w:p>
    <w:p>
      <w:pPr>
        <w:pStyle w:val="Normal"/>
        <w:spacing w:lineRule="auto" w:line="240" w:before="0" w:afterAutospacing="0" w:after="0"/>
        <w:ind w:firstLine="540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   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района                                                       В.А. Некрасов</w:t>
      </w:r>
    </w:p>
    <w:sectPr>
      <w:type w:val="nextPage"/>
      <w:pgSz w:w="11906" w:h="16838"/>
      <w:pgMar w:left="1440" w:right="85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-">
    <w:name w:val="Hyperlink"/>
    <w:uiPriority w:val="99"/>
    <w:unhideWhenUsed/>
    <w:rPr>
      <w:color w:val="000080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9">
    <w:name w:val="Символ нумерации"/>
    <w:qFormat/>
    <w:rPr/>
  </w:style>
  <w:style w:type="character" w:styleId="Style10">
    <w:name w:val="Выделение жирным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1"/>
    <w:pPr/>
    <w:rPr/>
  </w:style>
  <w:style w:type="paragraph" w:styleId="Style25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pacing w:before="0" w:after="89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color w:val="auto"/>
      <w:lang w:val="ru-RU" w:eastAsia="ru-RU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42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4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45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4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4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4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7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7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7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7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7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7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7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FFFFFF"/>
        <w:sz w:val="22"/>
      </w:rPr>
      <w:tblPr/>
      <w:tcPr>
        <w:shd w:val="clear" w:color="FFFFFF"/>
      </w:tcPr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FFFFFF"/>
        <w:sz w:val="22"/>
      </w:rPr>
      <w:tblPr/>
      <w:tcPr>
        <w:shd w:val="clear" w:color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/>
      </w:tcPr>
    </w:tblStylePr>
  </w:style>
  <w:style w:type="table" w:styleId="68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0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0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0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0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1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1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1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/>
      </w:tcPr>
    </w:tblStylePr>
    <w:tblStylePr w:type="band1Vert">
      <w:rPr>
        <w:color w:val="404040"/>
        <w:sz w:val="22"/>
      </w:rPr>
      <w:tblPr/>
      <w:tcPr>
        <w:shd w:val="clear" w:color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4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/>
      </w:tcPr>
    </w:tblStylePr>
    <w:tblStylePr w:type="band1Vert">
      <w:tblPr/>
      <w:tcPr>
        <w:shd w:val="clear" w:color="FFFFFF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/>
      </w:tcPr>
    </w:tblStylePr>
    <w:tblStylePr w:type="band2Vert">
      <w:rPr>
        <w:color w:val="404040"/>
        <w:sz w:val="22"/>
      </w:rPr>
      <w:tblPr/>
      <w:tcPr>
        <w:shd w:val="clear" w:color="FFFFFF"/>
      </w:tcPr>
    </w:tblStylePr>
    <w:tblStylePr w:type="firstCol">
      <w:rPr>
        <w:color w:val="F2F2F2"/>
        <w:sz w:val="22"/>
      </w:rPr>
      <w:tblPr/>
      <w:tcPr>
        <w:shd w:val="clear" w:color="FFFFFF"/>
      </w:tcPr>
    </w:tblStylePr>
    <w:tblStylePr w:type="firstRow">
      <w:rPr>
        <w:color w:val="F2F2F2"/>
        <w:sz w:val="22"/>
      </w:rPr>
      <w:tblPr/>
      <w:tcPr>
        <w:shd w:val="clear" w:color="FFFFFF"/>
      </w:tcPr>
    </w:tblStylePr>
    <w:tblStylePr w:type="lastCol">
      <w:rPr>
        <w:color w:val="F2F2F2"/>
        <w:sz w:val="22"/>
      </w:rPr>
      <w:tblPr/>
      <w:tcPr>
        <w:shd w:val="clear" w:color="FFFFFF"/>
      </w:tcPr>
    </w:tblStylePr>
    <w:tblStylePr w:type="lastRow">
      <w:rPr>
        <w:color w:val="F2F2F2"/>
        <w:sz w:val="22"/>
      </w:rPr>
      <w:tblPr/>
      <w:tcPr>
        <w:shd w:val="clear" w:color="FFFFFF"/>
      </w:tcPr>
    </w:tblStylePr>
  </w:style>
  <w:style w:type="table" w:styleId="76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6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6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6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6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6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6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6</Pages>
  <Words>1516</Words>
  <Characters>11355</Characters>
  <CharactersWithSpaces>12974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2021-12-06T08:46:01Z</dcterms:created>
  <dc:creator/>
  <dc:description/>
  <dc:language>ru-RU</dc:language>
  <cp:lastModifiedBy/>
  <cp:lastPrinted>2024-01-30T08:53:18Z</cp:lastPrinted>
  <dcterms:modified xsi:type="dcterms:W3CDTF">2024-01-30T09:42:02Z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