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2024г.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b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31:24:1002001:65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 общей площадью 300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с.Нагольное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, в качестве правообладателя, владеющего данным земельным участком на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праве собственности 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Барабашова Алексея Дмитриевича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31.12.1955 года рождения,  паспорт гражданина Российской Федерации серия 1400 №283598, выдан 05.06.2001 года  отделом внутренних дел Ровеньского района Белгородской области, ко</w:t>
      </w:r>
      <w:r>
        <w:rPr>
          <w:rFonts w:ascii="Times New Roman" w:hAnsi="Times New Roman"/>
          <w:b w:val="false"/>
          <w:sz w:val="28"/>
          <w:szCs w:val="28"/>
        </w:rPr>
        <w:t xml:space="preserve">д 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подразделения: 312-017, СНИЛС 071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-827-963 90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, проживающего по адресу: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309118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, Белгородская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 область, </w:t>
      </w:r>
      <w:r>
        <w:rPr>
          <w:rFonts w:ascii="Times New Roman" w:hAnsi="Times New Roman"/>
          <w:b w:val="false"/>
          <w:bCs w:val="false"/>
          <w:iCs w:val="false"/>
          <w:sz w:val="28"/>
          <w:szCs w:val="28"/>
          <w:lang w:val="ru-RU" w:bidi="ar-SA" w:eastAsia="zh-CN"/>
        </w:rPr>
        <w:t xml:space="preserve">Ивнянский </w:t>
      </w:r>
      <w:r>
        <w:rPr>
          <w:rFonts w:ascii="Times New Roman" w:hAnsi="Times New Roman"/>
          <w:b w:val="false"/>
          <w:bCs w:val="false"/>
          <w:iCs w:val="false"/>
          <w:sz w:val="28"/>
          <w:szCs w:val="28"/>
          <w:lang w:val="ru-RU" w:bidi="ar-SA" w:eastAsia="zh-CN"/>
        </w:rPr>
        <w:t xml:space="preserve">район,  х.Береговой, дом 16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.</w:t>
      </w:r>
      <w:r>
        <w:rPr>
          <w:rFonts w:ascii="Times New Roman" w:hAnsi="Times New Roman"/>
          <w:b w:val="false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/>
          <w:b w:val="false"/>
          <w:sz w:val="28"/>
        </w:rPr>
      </w:r>
      <w:r>
        <w:rPr>
          <w:b w:val="false"/>
          <w:sz w:val="28"/>
        </w:rPr>
      </w:r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b w:val="false"/>
          <w:sz w:val="28"/>
        </w:rPr>
      </w:pPr>
      <w:r>
        <w:rPr>
          <w:rFonts w:ascii="Times New Roman" w:hAnsi="Times New Roman" w:eastAsia="Times New Roman"/>
          <w:b w:val="false"/>
          <w:color w:val="000000"/>
          <w:sz w:val="28"/>
          <w:szCs w:val="28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Барабашова Алексея Дмитриевича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lang w:val="ru-RU" w:bidi="ar-SA" w:eastAsia="zh-CN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подтверждается 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Свидетельством на право собственности на земельный участок от 23.05.1992 года № БЕО-17-06-0066, выданным администрацией Наголенского  с/Совета  Ровеньского района Белгородской области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lang w:val="ru-RU" w:bidi="ar-SA" w:eastAsia="zh-CN"/>
        </w:rPr>
      </w:r>
      <w:r>
        <w:rPr>
          <w:b w:val="false"/>
          <w:sz w:val="28"/>
        </w:rPr>
      </w:r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b w:val="false"/>
          <w:sz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false"/>
          <w:sz w:val="28"/>
        </w:rPr>
      </w:r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b w:val="false"/>
          <w:sz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false"/>
          <w:sz w:val="28"/>
        </w:rPr>
      </w:r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  <w:rPr>
          <w:b w:val="false"/>
          <w:sz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недвижимости;</w:t>
      </w:r>
      <w:r>
        <w:rPr>
          <w:b w:val="false"/>
          <w:sz w:val="28"/>
        </w:rPr>
      </w:r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Барабашову Алексею Дмитриевичу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b w:val="false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b w:val="false"/>
          <w:sz w:val="28"/>
        </w:rPr>
      </w:r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rPr>
          <w:rFonts w:ascii="Times New Roman" w:hAnsi="Times New Roman"/>
          <w:sz w:val="20"/>
          <w:szCs w:val="2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2024-11-02T11:56:12Z</dcterms:modified>
</cp:coreProperties>
</file>