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проект </w:t>
      </w:r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31:24:0105001:186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общей площадью 1100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кв. м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Белгородская область, р-н Ровеньский, с. Жабское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Чепуренко Александра Андреевич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  года рождения,  паспорт гражданина Российской Федерации серия   , выдан  г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код подразделения: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Чепуренко Александра Андреевич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о праве собственности на землю БЕО-17-03-000371, выданным администрацией Ладомировского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 21.09.1992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Чепуренко Александру Андреевичу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2025-07-29T10:25:18Z</dcterms:modified>
</cp:coreProperties>
</file>