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680" w:firstLine="0"/>
        <w:jc w:val="right"/>
      </w:pPr>
      <w:r>
        <w:t xml:space="preserve">Приложение №2</w:t>
      </w:r>
      <w:r/>
    </w:p>
    <w:p>
      <w:pPr>
        <w:pStyle w:val="830"/>
        <w:ind w:left="680" w:firstLine="0"/>
        <w:jc w:val="right"/>
      </w:pPr>
      <w:r>
        <w:t xml:space="preserve">к протоколу заседания</w:t>
      </w:r>
      <w:r/>
    </w:p>
    <w:p>
      <w:pPr>
        <w:pStyle w:val="830"/>
        <w:ind w:left="680" w:firstLine="0"/>
        <w:jc w:val="right"/>
      </w:pPr>
      <w:r>
        <w:t xml:space="preserve">комиссии по приватизации</w:t>
      </w:r>
      <w:r/>
    </w:p>
    <w:p>
      <w:pPr>
        <w:pStyle w:val="830"/>
        <w:ind w:left="680" w:firstLine="0"/>
        <w:jc w:val="right"/>
      </w:pPr>
      <w:r>
        <w:t xml:space="preserve">от «15» января 2025 г. №1</w:t>
      </w:r>
      <w:r/>
    </w:p>
    <w:p>
      <w:pPr>
        <w:pStyle w:val="830"/>
        <w:ind w:left="680" w:firstLine="0"/>
        <w:jc w:val="right"/>
      </w:pPr>
      <w:r/>
      <w:r/>
    </w:p>
    <w:p>
      <w:pPr>
        <w:pStyle w:val="830"/>
        <w:jc w:val="center"/>
        <w:rPr>
          <w:b/>
        </w:rPr>
      </w:pPr>
      <w:r>
        <w:rPr>
          <w:b/>
        </w:rPr>
        <w:t xml:space="preserve">ИНФОРМАЦИОННОЕ СООБЩЕНИЕ</w:t>
      </w:r>
      <w:r>
        <w:rPr>
          <w:b/>
        </w:rPr>
      </w:r>
      <w:r>
        <w:rPr>
          <w:b/>
        </w:rPr>
      </w:r>
    </w:p>
    <w:p>
      <w:pPr>
        <w:pStyle w:val="830"/>
        <w:jc w:val="center"/>
      </w:pPr>
      <w:r>
        <w:rPr>
          <w:b/>
        </w:rPr>
        <w:t xml:space="preserve">о проведении продажи муниципального имущества </w:t>
      </w:r>
      <w:r/>
    </w:p>
    <w:p>
      <w:pPr>
        <w:pStyle w:val="830"/>
        <w:jc w:val="center"/>
      </w:pPr>
      <w:r/>
      <w:bookmarkStart w:id="0" w:name="__DdeLink__218_385081146"/>
      <w:r>
        <w:rPr>
          <w:b/>
        </w:rPr>
        <w:t xml:space="preserve"> </w:t>
      </w:r>
      <w:r>
        <w:rPr>
          <w:b/>
        </w:rPr>
        <w:t xml:space="preserve">посредством публичного предложения</w:t>
      </w:r>
      <w:bookmarkEnd w:id="0"/>
      <w:r>
        <w:rPr>
          <w:b/>
        </w:rPr>
        <w:t xml:space="preserve"> в электронной форме</w:t>
      </w:r>
      <w:r/>
    </w:p>
    <w:p>
      <w:pPr>
        <w:pStyle w:val="83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0"/>
        <w:ind w:left="0" w:firstLine="680"/>
        <w:jc w:val="both"/>
      </w:pPr>
      <w:r>
        <w:rPr>
          <w:sz w:val="28"/>
          <w:szCs w:val="28"/>
        </w:rPr>
        <w:t xml:space="preserve">Администрация Ровеньского района информирует о проведении продажи муниципального имущества Ровеньского района посредством публичного предложения в электронной форме</w:t>
      </w:r>
      <w:r>
        <w:t xml:space="preserve">, в порядке приватизации на универсальной торговой платформе АО «Сбербанк – Автоматизированная система торгов» (далее УТП АО «Сбербанк – АСТ») на сайте </w:t>
      </w:r>
      <w:hyperlink r:id="rId8" w:tooltip="http://utp.sberbank-ast.ru/" w:history="1">
        <w:r>
          <w:rPr>
            <w:rStyle w:val="833"/>
            <w:color w:val="000000"/>
            <w:u w:val="none"/>
          </w:rPr>
          <w:t xml:space="preserve">http://</w:t>
        </w:r>
        <w:r>
          <w:rPr>
            <w:rStyle w:val="833"/>
            <w:color w:val="000000"/>
            <w:u w:val="none"/>
            <w:lang w:val="en-US"/>
          </w:rPr>
          <w:t xml:space="preserve">utp</w:t>
        </w:r>
        <w:r>
          <w:rPr>
            <w:rStyle w:val="833"/>
            <w:color w:val="000000"/>
            <w:u w:val="none"/>
          </w:rPr>
          <w:t xml:space="preserve">.sberbank-ast.ru</w:t>
        </w:r>
      </w:hyperlink>
      <w:r>
        <w:t xml:space="preserve"> в сети «Интернет».</w:t>
      </w:r>
      <w:r/>
    </w:p>
    <w:p>
      <w:pPr>
        <w:pStyle w:val="830"/>
        <w:ind w:left="0" w:firstLine="680"/>
        <w:jc w:val="both"/>
      </w:pPr>
      <w:r>
        <w:t xml:space="preserve">Указанное в настоящем информационном сообщении время московское. При истечении сроков, указанных в настоящем информационном сообщении, принимается время сервера электронной торговой площадки – московское. </w:t>
      </w:r>
      <w:r/>
    </w:p>
    <w:p>
      <w:pPr>
        <w:pStyle w:val="1198"/>
        <w:ind w:left="0" w:right="0" w:firstLine="737"/>
        <w:jc w:val="both"/>
        <w:widowControl w:val="off"/>
      </w:pP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Наименование органа местного самоуправления, принявшего решение о</w:t>
      </w:r>
      <w:r>
        <w:rPr>
          <w:rFonts w:ascii="Times New Roman" w:hAnsi="Times New Roman" w:eastAsia="Calibri" w:cs="Times New Roman"/>
          <w:b/>
          <w:i w:val="0"/>
          <w:iCs w:val="0"/>
          <w:color w:val="000000"/>
          <w:sz w:val="28"/>
          <w:szCs w:val="28"/>
          <w:lang w:eastAsia="en-US"/>
        </w:rPr>
        <w:t xml:space="preserve">б условиях приватизации муниципального имущества, реквизиты указанного решения:</w:t>
      </w:r>
      <w:r>
        <w:rPr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Администрация Ровеньского района;</w:t>
      </w:r>
      <w:r>
        <w:rPr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постановление от             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15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января 2025 года № 11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«Об утверждении решения об условиях приватизации муниципального имущества».</w:t>
      </w:r>
      <w:r/>
    </w:p>
    <w:p>
      <w:pPr>
        <w:pStyle w:val="830"/>
        <w:ind w:left="709" w:firstLine="0"/>
        <w:jc w:val="both"/>
        <w:tabs>
          <w:tab w:val="left" w:pos="0" w:leader="none"/>
          <w:tab w:val="left" w:pos="4500" w:leader="none"/>
        </w:tabs>
      </w:pPr>
      <w:r>
        <w:rPr>
          <w:b/>
        </w:rPr>
        <w:t xml:space="preserve">Наименование и характеристика имущества:</w:t>
      </w:r>
      <w:r>
        <w:rPr>
          <w:rFonts w:cs="Times New Roman"/>
          <w:b w:val="0"/>
          <w:bCs w:val="0"/>
          <w:color w:val="000000"/>
          <w:spacing w:val="-2"/>
          <w:sz w:val="28"/>
          <w:szCs w:val="28"/>
          <w:lang w:val="ru-RU"/>
        </w:rPr>
      </w:r>
      <w:r/>
    </w:p>
    <w:p>
      <w:pPr>
        <w:pStyle w:val="1190"/>
        <w:jc w:val="both"/>
        <w:spacing w:before="0" w:after="0"/>
        <w:tabs>
          <w:tab w:val="left" w:pos="851" w:leader="none"/>
        </w:tabs>
      </w:pP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ab/>
        <w:t xml:space="preserve">Лот №1 - автобус марки КАВЗ модель ТС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4238-02, 2009 года изготовления, идентификационный номер (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VIN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)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77, модель, №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6ISBe 210 6951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1971, шасси (рама) № отсутствует, кузов (кабина, прицеп) №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77, цвет кузова (кабины, прицепа) белый, мощность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210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 л.с., рабочий объем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6700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 куб.см, тип двигателя дизельный, экологический класс третий, разрешенная максимальная масса 12250 кг, масса без нагрузки 8435 кг, паспорт транспортного средства 45 МУ 805752 выдан ООО «КАВЗ» г. Курган, ул. Автозаводская, 5 дата выдачи 30.09.2009г.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  <w:t xml:space="preserve">(не на ходу, отсутствует аккумуляторная батарея и стартер, а также неисправно электрооборудование автобуса).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8"/>
          <w:szCs w:val="28"/>
          <w:lang w:val="ru-RU"/>
        </w:rPr>
      </w:r>
      <w:r/>
    </w:p>
    <w:p>
      <w:pPr>
        <w:pStyle w:val="1190"/>
        <w:jc w:val="both"/>
        <w:spacing w:before="0" w:after="0"/>
        <w:tabs>
          <w:tab w:val="left" w:pos="851" w:leader="none"/>
        </w:tabs>
      </w:pPr>
      <w:r>
        <w:rPr>
          <w:b/>
          <w:bCs/>
          <w:sz w:val="28"/>
          <w:szCs w:val="28"/>
        </w:rPr>
        <w:tab/>
        <w:t xml:space="preserve">Способ приватизации:</w:t>
      </w:r>
      <w:r>
        <w:rPr>
          <w:bCs/>
          <w:sz w:val="28"/>
          <w:szCs w:val="28"/>
        </w:rPr>
        <w:t xml:space="preserve"> продажа муниципального имущества посредством публичного предложения</w:t>
      </w:r>
      <w:r>
        <w:rPr>
          <w:sz w:val="28"/>
          <w:szCs w:val="28"/>
        </w:rPr>
        <w:t xml:space="preserve">.</w:t>
      </w:r>
      <w:r/>
    </w:p>
    <w:p>
      <w:pPr>
        <w:pStyle w:val="830"/>
        <w:ind w:left="0" w:right="0" w:firstLine="720"/>
        <w:jc w:val="both"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Начальная цена продажи имущества с учетом НДС:</w:t>
      </w:r>
      <w:r>
        <w:rPr>
          <w:color w:val="000000"/>
          <w:spacing w:val="-2"/>
          <w:sz w:val="28"/>
          <w:szCs w:val="28"/>
        </w:rPr>
      </w:r>
      <w:r/>
    </w:p>
    <w:p>
      <w:pPr>
        <w:pStyle w:val="830"/>
        <w:ind w:left="0" w:right="0" w:hanging="680"/>
        <w:jc w:val="both"/>
        <w:tabs>
          <w:tab w:val="left" w:pos="0" w:leader="none"/>
        </w:tabs>
      </w:pPr>
      <w:r>
        <w:rPr>
          <w:color w:val="000000"/>
          <w:spacing w:val="-2"/>
          <w:sz w:val="28"/>
          <w:szCs w:val="28"/>
        </w:rPr>
        <w:tab/>
        <w:tab/>
        <w:t xml:space="preserve"> Лот №1 – 169 440 (сто шестьдесят девять тысяч четыреста сорок) рублей 00 копеек.</w:t>
      </w:r>
      <w:r/>
    </w:p>
    <w:p>
      <w:pPr>
        <w:pStyle w:val="830"/>
        <w:ind w:left="0" w:firstLine="0"/>
        <w:jc w:val="both"/>
        <w:tabs>
          <w:tab w:val="left" w:pos="0" w:leader="none"/>
        </w:tabs>
        <w:rPr>
          <w:color w:val="000000"/>
        </w:rPr>
      </w:pPr>
      <w:r>
        <w:rPr>
          <w:color w:val="000000"/>
          <w:sz w:val="28"/>
          <w:szCs w:val="28"/>
        </w:rPr>
        <w:tab/>
        <w:t xml:space="preserve">Величина снижения цены первоначального предложения «шаг понижения» составляет:</w:t>
      </w:r>
      <w:r>
        <w:rPr>
          <w:color w:val="000000"/>
        </w:rPr>
      </w:r>
      <w:r>
        <w:rPr>
          <w:color w:val="000000"/>
        </w:rPr>
      </w:r>
    </w:p>
    <w:p>
      <w:pPr>
        <w:pStyle w:val="830"/>
        <w:ind w:left="0" w:firstLine="0"/>
        <w:jc w:val="both"/>
        <w:tabs>
          <w:tab w:val="left" w:pos="0" w:leader="none"/>
        </w:tabs>
      </w:pPr>
      <w:r>
        <w:rPr>
          <w:color w:val="000000"/>
          <w:sz w:val="28"/>
          <w:szCs w:val="28"/>
        </w:rPr>
        <w:tab/>
        <w:t xml:space="preserve">Лот №1 — 16 944 (шестнадцать тысяч девятьсот сорок четыре) рубля 00 копеек и не изменяется в течение всей процедуры продажи муниципального имущества посредством публичного предложения.</w:t>
      </w:r>
      <w:r/>
    </w:p>
    <w:p>
      <w:pPr>
        <w:pStyle w:val="830"/>
        <w:ind w:left="0" w:firstLine="0"/>
        <w:jc w:val="both"/>
        <w:tabs>
          <w:tab w:val="left" w:pos="0" w:leader="none"/>
        </w:tabs>
        <w:rPr>
          <w:color w:val="ce181e"/>
        </w:rPr>
      </w:pPr>
      <w:r>
        <w:rPr>
          <w:color w:val="ce181e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Величина повышения цены «шаг аукциона» в случае, предусмотренном Федеральным законом от 21 декабря 2001 года №178-ФЗ «О приватизации государственного и муниципального имущества» составляет:</w:t>
      </w:r>
      <w:r>
        <w:rPr>
          <w:color w:val="ce181e"/>
        </w:rPr>
      </w:r>
      <w:r>
        <w:rPr>
          <w:color w:val="ce181e"/>
        </w:rPr>
      </w:r>
    </w:p>
    <w:p>
      <w:pPr>
        <w:pStyle w:val="830"/>
        <w:ind w:left="0" w:right="0" w:firstLine="709"/>
        <w:jc w:val="both"/>
        <w:tabs>
          <w:tab w:val="left" w:pos="0" w:leader="none"/>
        </w:tabs>
      </w:pPr>
      <w:r>
        <w:rPr>
          <w:color w:val="000000"/>
          <w:sz w:val="28"/>
          <w:szCs w:val="28"/>
        </w:rPr>
        <w:t xml:space="preserve">Лота №1 — 8 472 (восемь тысяч четыреста семьдесят два) рубля 00 копеек; и не изменяется в течение всей процедуры продажи имущества посредством публичного предложения.</w:t>
      </w:r>
      <w:r/>
    </w:p>
    <w:p>
      <w:pPr>
        <w:pStyle w:val="830"/>
        <w:ind w:left="0" w:firstLine="0"/>
        <w:jc w:val="both"/>
        <w:tabs>
          <w:tab w:val="left" w:pos="0" w:leader="none"/>
        </w:tabs>
        <w:rPr>
          <w:color w:val="ce181e"/>
        </w:rPr>
      </w:pPr>
      <w:r>
        <w:rPr>
          <w:color w:val="ce181e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Минимальная цена предложения, по которой может быть продано муниципальное имущество (цена отсечения):</w:t>
      </w:r>
      <w:r>
        <w:rPr>
          <w:color w:val="ce181e"/>
        </w:rPr>
      </w:r>
      <w:r>
        <w:rPr>
          <w:color w:val="ce181e"/>
        </w:rPr>
      </w:r>
    </w:p>
    <w:p>
      <w:pPr>
        <w:pStyle w:val="830"/>
        <w:ind w:left="0" w:firstLine="709"/>
        <w:jc w:val="both"/>
        <w:tabs>
          <w:tab w:val="left" w:pos="0" w:leader="none"/>
        </w:tabs>
      </w:pPr>
      <w:r/>
      <w:bookmarkStart w:id="1" w:name="__DdeLink__618_4237982670"/>
      <w:r>
        <w:rPr>
          <w:color w:val="000000"/>
          <w:spacing w:val="-2"/>
          <w:sz w:val="28"/>
          <w:szCs w:val="28"/>
        </w:rPr>
        <w:t xml:space="preserve">Лота №1 — 84 720 (восемьдесят четыре тысячи семьсот двадцать) рублей 00 копеек;</w:t>
      </w:r>
      <w:bookmarkEnd w:id="1"/>
      <w:r/>
      <w:r/>
    </w:p>
    <w:p>
      <w:pPr>
        <w:pStyle w:val="830"/>
        <w:ind w:left="0" w:right="0" w:firstLine="720"/>
        <w:jc w:val="both"/>
        <w:tabs>
          <w:tab w:val="left" w:pos="0" w:leader="none"/>
        </w:tabs>
      </w:pPr>
      <w:r>
        <w:rPr>
          <w:color w:val="000000"/>
          <w:sz w:val="28"/>
          <w:szCs w:val="28"/>
        </w:rPr>
        <w:t xml:space="preserve">Предложения о цене муниципального имущества</w:t>
      </w:r>
      <w:r>
        <w:rPr>
          <w:sz w:val="28"/>
          <w:szCs w:val="28"/>
        </w:rPr>
        <w:t xml:space="preserve"> заявляются участниками продажи открыто в ходе проведения торгов.</w:t>
      </w:r>
      <w:r/>
    </w:p>
    <w:p>
      <w:pPr>
        <w:pStyle w:val="830"/>
        <w:ind w:left="0" w:firstLine="709"/>
        <w:jc w:val="both"/>
        <w:tabs>
          <w:tab w:val="left" w:pos="0" w:leader="none"/>
        </w:tabs>
        <w:rPr>
          <w:bCs/>
        </w:rPr>
      </w:pPr>
      <w:r>
        <w:rPr>
          <w:b/>
          <w:bCs/>
        </w:rPr>
        <w:t xml:space="preserve">Форма подачи предложений о цене</w:t>
      </w:r>
      <w:r>
        <w:rPr>
          <w:bCs/>
        </w:rPr>
        <w:t xml:space="preserve">: открытая.</w:t>
      </w:r>
      <w:r>
        <w:rPr>
          <w:bCs/>
        </w:rPr>
      </w:r>
      <w:r>
        <w:rPr>
          <w:bCs/>
        </w:rPr>
      </w:r>
    </w:p>
    <w:p>
      <w:pPr>
        <w:pStyle w:val="830"/>
        <w:numPr>
          <w:ilvl w:val="0"/>
          <w:numId w:val="0"/>
        </w:numPr>
        <w:ind w:left="0" w:firstLine="709"/>
        <w:jc w:val="both"/>
        <w:widowControl/>
        <w:tabs>
          <w:tab w:val="left" w:pos="0" w:leader="none"/>
        </w:tabs>
        <w:outlineLvl w:val="1"/>
      </w:pPr>
      <w:r>
        <w:rPr>
          <w:b/>
        </w:rPr>
        <w:t xml:space="preserve">Условия и сроки платежа, реквизиты счетов</w:t>
      </w:r>
      <w:r>
        <w:t xml:space="preserve">: </w:t>
      </w:r>
      <w:bookmarkStart w:id="2" w:name="__DdeLink__267_1200119388"/>
      <w:r>
        <w:t xml:space="preserve">Денежные средства в счет оплаты муниципального имущества </w:t>
      </w:r>
      <w:r>
        <w:rPr>
          <w:color w:val="000000"/>
        </w:rPr>
        <w:t xml:space="preserve">подлежат перечислению победителем в установленном порядке в бюджет не позднее 30 рабочих дней со дня заключения договора купли-продажи</w:t>
      </w:r>
      <w:bookmarkEnd w:id="2"/>
      <w:r>
        <w:rPr>
          <w:color w:val="000000"/>
        </w:rPr>
        <w:t xml:space="preserve"> по реквизитам: </w:t>
      </w:r>
      <w:r/>
    </w:p>
    <w:p>
      <w:pPr>
        <w:pStyle w:val="830"/>
        <w:numPr>
          <w:ilvl w:val="0"/>
          <w:numId w:val="0"/>
        </w:numPr>
        <w:ind w:left="0" w:firstLine="709"/>
        <w:jc w:val="both"/>
        <w:widowControl/>
        <w:tabs>
          <w:tab w:val="left" w:pos="0" w:leader="none"/>
        </w:tabs>
        <w:rPr>
          <w:highlight w:val="none"/>
        </w:rPr>
        <w:outlineLvl w:val="1"/>
      </w:pPr>
      <w:r>
        <w:rPr>
          <w:rFonts w:cs="Times New Roman"/>
          <w:color w:val="000000"/>
          <w:sz w:val="28"/>
          <w:szCs w:val="28"/>
          <w:highlight w:val="none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Fonts w:cs="Times New Roman"/>
          <w:b w:val="0"/>
          <w:bCs w:val="0"/>
          <w:color w:val="000000"/>
          <w:sz w:val="28"/>
          <w:szCs w:val="28"/>
          <w:highlight w:val="none"/>
        </w:rPr>
        <w:t xml:space="preserve">р/сч: 03100643000000012600, кор/сч:</w:t>
      </w:r>
      <w:r>
        <w:rPr>
          <w:rFonts w:cs="Times New Roman"/>
          <w:b w:val="0"/>
          <w:bCs w:val="0"/>
          <w:color w:val="000000"/>
          <w:sz w:val="28"/>
          <w:szCs w:val="28"/>
          <w:highlight w:val="none"/>
          <w:lang w:val="en-US"/>
        </w:rPr>
        <w:t xml:space="preserve"> 40102810745370000018, </w:t>
      </w:r>
      <w:r>
        <w:rPr>
          <w:rFonts w:cs="Times New Roman"/>
          <w:b w:val="0"/>
          <w:bCs w:val="0"/>
          <w:color w:val="000000"/>
          <w:sz w:val="28"/>
          <w:szCs w:val="28"/>
          <w:highlight w:val="none"/>
        </w:rPr>
        <w:t xml:space="preserve">Банк:  ОТДЕЛЕНИЕ БЕЛГОРОД//УФК по Белгородской области г.Белгород, Бик: 011403102, КБК 85011402053050000410, ОКТМО 14650000</w:t>
      </w:r>
      <w:r>
        <w:rPr>
          <w:highlight w:val="none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__________20___г. № _____. </w:t>
      </w:r>
      <w:r>
        <w:rPr>
          <w:highlight w:val="none"/>
        </w:rPr>
      </w:r>
      <w:r>
        <w:rPr>
          <w:highlight w:val="none"/>
        </w:rPr>
      </w:r>
    </w:p>
    <w:p>
      <w:pPr>
        <w:pStyle w:val="830"/>
        <w:numPr>
          <w:ilvl w:val="0"/>
          <w:numId w:val="0"/>
        </w:numPr>
        <w:ind w:left="0" w:firstLine="709"/>
        <w:jc w:val="both"/>
        <w:widowControl/>
        <w:tabs>
          <w:tab w:val="left" w:pos="0" w:leader="none"/>
        </w:tabs>
        <w:rPr>
          <w:sz w:val="20"/>
          <w:szCs w:val="20"/>
        </w:rPr>
        <w:outlineLvl w:val="1"/>
      </w:pPr>
      <w:r>
        <w:t xml:space="preserve">Рассрочка платежа не предоставляется.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0"/>
        <w:ind w:left="0" w:firstLine="709"/>
        <w:jc w:val="both"/>
      </w:pPr>
      <w:r>
        <w:rPr>
          <w:b/>
        </w:rPr>
        <w:t xml:space="preserve">Размер задатка, сроки и порядок внесения и возвращения задатка, назначение платежа, реквизиты счетов: </w:t>
      </w:r>
      <w:r>
        <w:t xml:space="preserve">Для участия в продаже претенденту необходимо внести задаток в размере 10% начальной цены имущества в сумме:</w:t>
      </w:r>
      <w:r/>
    </w:p>
    <w:p>
      <w:pPr>
        <w:pStyle w:val="830"/>
        <w:ind w:left="0" w:firstLine="720"/>
        <w:jc w:val="both"/>
      </w:pPr>
      <w:r>
        <w:t xml:space="preserve">по Лоту №1 – 16 944 (</w:t>
      </w:r>
      <w:r>
        <w:rPr>
          <w:color w:val="000000"/>
          <w:sz w:val="28"/>
          <w:szCs w:val="28"/>
        </w:rPr>
        <w:t xml:space="preserve">шестнадцать тысяч девятьсот сорок четыре</w:t>
      </w:r>
      <w:r>
        <w:t xml:space="preserve">) рубль 00 копеек,</w:t>
      </w:r>
      <w:r/>
    </w:p>
    <w:p>
      <w:pPr>
        <w:pStyle w:val="830"/>
        <w:ind w:left="0" w:firstLine="680"/>
        <w:jc w:val="both"/>
        <w:rPr>
          <w:highlight w:val="none"/>
        </w:rPr>
      </w:pPr>
      <w:r>
        <w:rPr>
          <w:sz w:val="28"/>
          <w:szCs w:val="28"/>
        </w:rPr>
        <w:t xml:space="preserve">по следующим реквизитам: АО «Сбербанк – АСТ» ИНН 7707308480, КПП 770401001, расчетный счет 40702810300020038047, банк: ПАО «Сбербанк России» г.Москва, БИК 044525225, корр</w:t>
      </w:r>
      <w:r>
        <w:rPr>
          <w:sz w:val="28"/>
          <w:szCs w:val="28"/>
        </w:rPr>
        <w:t xml:space="preserve">еспондентский счет 30101810400000000225. Назначение платежа: Перечисление денежных средств в качестве задатка (ИНН плательщика) НДС не облагается.  Денежные средства, перечисленные за Участника третьим лицом, не зачисляются на счет такого Участника на УТП.</w:t>
      </w:r>
      <w:r>
        <w:rPr>
          <w:b w:val="0"/>
          <w:bCs w:val="0"/>
          <w:i/>
          <w:iCs/>
          <w:color w:val="c7a0cb"/>
          <w:sz w:val="28"/>
          <w:szCs w:val="28"/>
        </w:rPr>
        <w:t xml:space="preserve">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Срок зачисления денежных средств на лицевой счет Участника на УТП – от 1 до 3 рабочих дней.</w:t>
      </w:r>
      <w:r>
        <w:rPr>
          <w:b w:val="0"/>
          <w:bCs w:val="0"/>
          <w:i/>
          <w:iCs/>
          <w:color w:val="c7a0cb"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сообщение является публичной офертой в соответствии со </w:t>
      </w:r>
      <w:hyperlink r:id="rId9" w:tooltip="consultantplus://offline/main?base=LAW;n=112770;fld=134;dst=102068" w:history="1">
        <w:r>
          <w:rPr>
            <w:rStyle w:val="836"/>
            <w:sz w:val="28"/>
            <w:szCs w:val="28"/>
          </w:rPr>
          <w:t xml:space="preserve">статьей 437</w:t>
        </w:r>
      </w:hyperlink>
      <w:r>
        <w:rPr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 </w:t>
      </w:r>
      <w:r>
        <w:rPr>
          <w:color w:val="000000"/>
          <w:sz w:val="28"/>
          <w:szCs w:val="28"/>
        </w:rPr>
        <w:t xml:space="preserve">Документом, подтверждающим поступление задатка на счет, указанный в информационном сообщении, является выписка из этого счета.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b w:val="0"/>
          <w:bCs w:val="0"/>
          <w:i w:val="0"/>
          <w:iCs w:val="0"/>
          <w:color w:val="000000"/>
          <w:sz w:val="28"/>
          <w:szCs w:val="28"/>
          <w:highlight w:val="none"/>
        </w:rPr>
        <w:t xml:space="preserve">Срок внесения задатка до </w:t>
      </w:r>
      <w:r>
        <w:rPr>
          <w:b w:val="0"/>
          <w:bCs w:val="0"/>
          <w:i w:val="0"/>
          <w:iCs w:val="0"/>
          <w:color w:val="000000"/>
          <w:sz w:val="28"/>
          <w:szCs w:val="28"/>
          <w:highlight w:val="none"/>
        </w:rPr>
        <w:t xml:space="preserve">21</w:t>
      </w:r>
      <w:r>
        <w:rPr>
          <w:b w:val="0"/>
          <w:bCs w:val="0"/>
          <w:i w:val="0"/>
          <w:iCs w:val="0"/>
          <w:color w:val="000000"/>
          <w:sz w:val="28"/>
          <w:szCs w:val="28"/>
          <w:highlight w:val="yellow"/>
        </w:rPr>
      </w:r>
      <w:r>
        <w:rPr>
          <w:b w:val="0"/>
          <w:bCs w:val="0"/>
          <w:i w:val="0"/>
          <w:iCs w:val="0"/>
          <w:color w:val="000000"/>
          <w:sz w:val="28"/>
          <w:szCs w:val="28"/>
          <w:highlight w:val="none"/>
        </w:rPr>
        <w:t xml:space="preserve"> февраля</w:t>
      </w:r>
      <w:r>
        <w:rPr>
          <w:b w:val="0"/>
          <w:bCs w:val="0"/>
          <w:i w:val="0"/>
          <w:iCs w:val="0"/>
          <w:color w:val="000000"/>
          <w:sz w:val="28"/>
          <w:szCs w:val="28"/>
          <w:highlight w:val="none"/>
        </w:rPr>
        <w:t xml:space="preserve"> 2025 года включительно.</w:t>
      </w:r>
      <w:r>
        <w:rPr>
          <w:highlight w:val="none"/>
        </w:rPr>
      </w:r>
      <w:r>
        <w:rPr>
          <w:highlight w:val="none"/>
        </w:rPr>
      </w:r>
    </w:p>
    <w:p>
      <w:pPr>
        <w:pStyle w:val="830"/>
        <w:ind w:left="0" w:firstLine="0"/>
        <w:jc w:val="both"/>
      </w:pPr>
      <w:r>
        <w:rPr>
          <w:rFonts w:ascii="Arial" w:hAnsi="Arial"/>
          <w:b w:val="0"/>
          <w:i w:val="0"/>
          <w:strike w:val="0"/>
          <w:sz w:val="20"/>
          <w:u w:val="none"/>
        </w:rPr>
        <w:tab/>
      </w:r>
      <w:r>
        <w:rPr>
          <w:b w:val="0"/>
          <w:i w:val="0"/>
          <w:strike w:val="0"/>
          <w:sz w:val="28"/>
          <w:szCs w:val="28"/>
          <w:u w:val="none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  <w:r/>
    </w:p>
    <w:p>
      <w:pPr>
        <w:pStyle w:val="830"/>
        <w:ind w:left="0" w:firstLine="0"/>
        <w:jc w:val="both"/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В случае отзыва претендентом заявки в порядке, установленном </w:t>
      </w:r>
      <w:r>
        <w:rPr>
          <w:b w:val="0"/>
          <w:i w:val="0"/>
          <w:strike w:val="0"/>
          <w:sz w:val="28"/>
          <w:szCs w:val="28"/>
          <w:highlight w:val="yellow"/>
          <w:u w:val="none"/>
        </w:rPr>
        <w:t xml:space="preserve"> </w:t>
      </w:r>
      <w:r>
        <w:rPr>
          <w:b w:val="0"/>
          <w:i w:val="0"/>
          <w:strike w:val="0"/>
          <w:sz w:val="28"/>
          <w:szCs w:val="28"/>
          <w:u w:val="none"/>
        </w:rPr>
        <w:t xml:space="preserve">Положением «Об организации и проведении продажи государственного или муниципального имущества в эл</w:t>
      </w:r>
      <w:r>
        <w:rPr>
          <w:b w:val="0"/>
          <w:i w:val="0"/>
          <w:strike w:val="0"/>
          <w:sz w:val="28"/>
          <w:szCs w:val="28"/>
          <w:u w:val="none"/>
        </w:rPr>
        <w:t xml:space="preserve">ектронной форме», утвержденное Постановлением Правительства РФ от 27 августа 2012г. №860,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  <w:r/>
    </w:p>
    <w:p>
      <w:pPr>
        <w:pStyle w:val="830"/>
        <w:ind w:left="0" w:firstLine="0"/>
        <w:jc w:val="both"/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Поступивший от претендента задаток подлежит возврату в </w:t>
      </w:r>
      <w:r>
        <w:rPr>
          <w:b w:val="0"/>
          <w:i w:val="0"/>
          <w:strike w:val="0"/>
          <w:sz w:val="28"/>
          <w:szCs w:val="28"/>
          <w:u w:val="none"/>
        </w:rPr>
        <w:t xml:space="preserve">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  <w:r/>
    </w:p>
    <w:p>
      <w:pPr>
        <w:pStyle w:val="83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Задаток победителя продажи муниципального имущества засчитывается в счет оплаты приоб</w:t>
      </w:r>
      <w:r>
        <w:rPr>
          <w:b w:val="0"/>
          <w:i w:val="0"/>
          <w:strike w:val="0"/>
          <w:sz w:val="28"/>
          <w:szCs w:val="28"/>
          <w:u w:val="none"/>
        </w:rPr>
        <w:t xml:space="preserve">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Лицам, перечислившим задаток для участия в продаже муниципального имущества посредством публичного предложения, денежные средства возвращаются в следующем порядке: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- участникам, за исключением победителя - в течение 5 календарных дней со дня подведения итогов продажи имущества;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При уклонении или отказе по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b/>
        </w:rPr>
        <w:t xml:space="preserve">Порядок, дата и время регистрации на сайте в сети «Интернет» претендентов:</w:t>
      </w:r>
      <w:r>
        <w:t xml:space="preserve"> 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сайте </w:t>
      </w:r>
      <w:hyperlink r:id="rId10" w:tooltip="http://utp.sberbank-ast.ru/" w:history="1">
        <w:r>
          <w:rPr>
            <w:rStyle w:val="833"/>
            <w:color w:val="000000"/>
            <w:u w:val="none"/>
          </w:rPr>
          <w:t xml:space="preserve">http://</w:t>
        </w:r>
        <w:r>
          <w:rPr>
            <w:rStyle w:val="833"/>
            <w:color w:val="000000"/>
            <w:u w:val="none"/>
            <w:lang w:val="en-US"/>
          </w:rPr>
          <w:t xml:space="preserve">utp</w:t>
        </w:r>
        <w:r>
          <w:rPr>
            <w:rStyle w:val="833"/>
            <w:color w:val="000000"/>
            <w:u w:val="none"/>
          </w:rPr>
          <w:t xml:space="preserve">.sberbank-ast.ru</w:t>
        </w:r>
      </w:hyperlink>
      <w:r>
        <w:t xml:space="preserve"> в сети «Интернет». </w:t>
      </w:r>
      <w:r>
        <w:rPr>
          <w:i w:val="0"/>
          <w:iCs w:val="0"/>
          <w:color w:val="000000"/>
        </w:rPr>
        <w:t xml:space="preserve">Регистрации подлежат претенденты, ранее не зарегистри</w:t>
      </w:r>
      <w:r>
        <w:rPr>
          <w:i w:val="0"/>
          <w:iCs w:val="0"/>
          <w:color w:val="000000"/>
        </w:rPr>
        <w:t xml:space="preserve">рованные на электронной площадке или регистрация которых на электронной площадке была ими прекращена. Регистрация на электронной площадке проводится в соответствии с Регламентом торговой секции «Приватизация, аренда и продажа прав» УТП АО «Сбербанк – АСТ».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b/>
        </w:rPr>
        <w:t xml:space="preserve">Порядок, место, даты начала и окончания подачи заявок на участие в продаже посредством публичного предложения: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t xml:space="preserve">З</w:t>
      </w:r>
      <w:r>
        <w:rPr>
          <w:b w:val="0"/>
          <w:bCs w:val="0"/>
        </w:rPr>
        <w:t xml:space="preserve">аявки на участие в  продаже муниципального имуществом </w:t>
      </w:r>
      <w:bookmarkStart w:id="3" w:name="__DdeLink__218_3850811461"/>
      <w:r>
        <w:rPr>
          <w:b w:val="0"/>
          <w:bCs w:val="0"/>
        </w:rPr>
        <w:t xml:space="preserve">посредством публичного предложения</w:t>
      </w:r>
      <w:bookmarkEnd w:id="3"/>
      <w:r>
        <w:t xml:space="preserve"> принимаются (согласно приложения №1) на торговой площадке  АО «Сбербанк – </w:t>
      </w:r>
      <w:r>
        <w:rPr>
          <w:i w:val="0"/>
          <w:iCs w:val="0"/>
          <w:color w:val="000000"/>
        </w:rPr>
        <w:t xml:space="preserve">АСТ» с</w:t>
      </w:r>
      <w:r>
        <w:rPr>
          <w:i w:val="0"/>
          <w:iCs w:val="0"/>
          <w:color w:val="000000"/>
          <w:highlight w:val="none"/>
        </w:rPr>
        <w:t xml:space="preserve"> 00:00 </w:t>
      </w:r>
      <w:r>
        <w:rPr>
          <w:i w:val="0"/>
          <w:iCs w:val="0"/>
          <w:color w:val="000000"/>
          <w:highlight w:val="none"/>
        </w:rPr>
        <w:t xml:space="preserve">24</w:t>
      </w:r>
      <w:r>
        <w:rPr>
          <w:i w:val="0"/>
          <w:iCs w:val="0"/>
          <w:color w:val="000000"/>
          <w:highlight w:val="none"/>
        </w:rPr>
        <w:t xml:space="preserve"> января 2025 г. по 23:00 21 февраля</w:t>
      </w:r>
      <w:r>
        <w:rPr>
          <w:i w:val="0"/>
          <w:iCs w:val="0"/>
          <w:color w:val="000000"/>
          <w:highlight w:val="none"/>
        </w:rPr>
        <w:t xml:space="preserve"> 2025г.</w:t>
      </w:r>
      <w:r>
        <w:rPr>
          <w:i w:val="0"/>
          <w:iCs w:val="0"/>
          <w:color w:val="000000"/>
          <w:highlight w:val="none"/>
        </w:rPr>
        <w:t xml:space="preserve"> включительно, без</w:t>
      </w:r>
      <w:r>
        <w:rPr>
          <w:color w:val="000000"/>
          <w:highlight w:val="none"/>
        </w:rPr>
        <w:t xml:space="preserve"> перерыва и </w:t>
      </w:r>
      <w:r>
        <w:rPr>
          <w:color w:val="000000"/>
        </w:rPr>
        <w:t xml:space="preserve">выходных по адресу: </w:t>
      </w:r>
      <w:hyperlink r:id="rId11" w:tooltip="http://utp.sberbank-ast.ru/" w:history="1">
        <w:r>
          <w:rPr>
            <w:rStyle w:val="833"/>
            <w:color w:val="000000"/>
            <w:u w:val="none"/>
          </w:rPr>
          <w:t xml:space="preserve">http://</w:t>
        </w:r>
        <w:r>
          <w:rPr>
            <w:rStyle w:val="833"/>
            <w:color w:val="000000"/>
            <w:u w:val="none"/>
            <w:lang w:val="en-US"/>
          </w:rPr>
          <w:t xml:space="preserve">utp</w:t>
        </w:r>
        <w:r>
          <w:rPr>
            <w:rStyle w:val="833"/>
            <w:color w:val="000000"/>
            <w:u w:val="none"/>
          </w:rPr>
          <w:t xml:space="preserve">.sberbank-ast.ru</w:t>
        </w:r>
      </w:hyperlink>
      <w:r>
        <w:rPr>
          <w:color w:val="000000"/>
        </w:rPr>
        <w:t xml:space="preserve">. В день определения участников Операто</w:t>
      </w:r>
      <w:r>
        <w:t xml:space="preserve">р торговой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  <w:r/>
    </w:p>
    <w:p>
      <w:pPr>
        <w:pStyle w:val="830"/>
        <w:numPr>
          <w:ilvl w:val="0"/>
          <w:numId w:val="0"/>
        </w:numPr>
        <w:ind w:left="0" w:firstLine="709"/>
        <w:jc w:val="both"/>
        <w:widowControl/>
        <w:rPr>
          <w:highlight w:val="yellow"/>
        </w:rPr>
        <w:outlineLvl w:val="1"/>
      </w:pPr>
      <w: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</w:t>
      </w:r>
      <w:r>
        <w:rPr>
          <w:i/>
          <w:iCs/>
          <w:color w:val="7477b8"/>
        </w:rPr>
        <w:t xml:space="preserve"> </w:t>
      </w:r>
      <w:r>
        <w:rPr>
          <w:i w:val="0"/>
          <w:iCs w:val="0"/>
          <w:color w:val="000000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Претендент не допускается к участию в продаже посредством публичного предложения  по следующим основаниям:</w:t>
      </w:r>
      <w:r/>
    </w:p>
    <w:p>
      <w:pPr>
        <w:pStyle w:val="830"/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представленные документы не подтверждают право претендента быть покупателем в соответствии с </w:t>
      </w:r>
      <w:hyperlink r:id="rId12" w:tooltip="consultantplus://offline/ref=A7C7550A2097A10F5680F3FCC98200D36F7317EDB12B68F3978A36D1E2A931FD7C620881F3695469m3nBK" w:history="1">
        <w:r>
          <w:rPr>
            <w:rStyle w:val="837"/>
          </w:rPr>
          <w:t xml:space="preserve">законодательством</w:t>
        </w:r>
      </w:hyperlink>
      <w:r>
        <w:rPr>
          <w:rFonts w:eastAsia="Calibri"/>
          <w:lang w:eastAsia="en-US"/>
        </w:rPr>
        <w:t xml:space="preserve"> Российской Федерации;</w:t>
      </w:r>
      <w:r/>
    </w:p>
    <w:p>
      <w:pPr>
        <w:pStyle w:val="830"/>
        <w:ind w:left="0" w:firstLine="540"/>
        <w:jc w:val="both"/>
        <w:widowControl/>
        <w:rPr>
          <w:color w:val="ef413d"/>
        </w:rPr>
      </w:pPr>
      <w:r>
        <w:rPr>
          <w:rFonts w:eastAsia="Calibri"/>
          <w:color w:val="000000"/>
          <w:lang w:eastAsia="en-US"/>
        </w:rPr>
        <w:t xml:space="preserve">представлены не все документы в соответствии с перечнем,</w:t>
      </w:r>
      <w:r>
        <w:rPr>
          <w:rFonts w:eastAsia="Calibri"/>
          <w:color w:val="ef413d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указанным в информационном сообщении о продаже муниципального имущества,</w:t>
      </w:r>
      <w:r>
        <w:rPr>
          <w:rFonts w:eastAsia="Calibri"/>
          <w:color w:val="ef413d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либо</w:t>
      </w:r>
      <w:r>
        <w:rPr>
          <w:rFonts w:eastAsia="Calibri"/>
          <w:color w:val="ef413d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оформление указанных документов не соответствует законодательству Российской Федерации;</w:t>
      </w:r>
      <w:r>
        <w:rPr>
          <w:color w:val="ef413d"/>
        </w:rPr>
      </w:r>
      <w:r>
        <w:rPr>
          <w:color w:val="ef413d"/>
        </w:rPr>
      </w:r>
    </w:p>
    <w:p>
      <w:pPr>
        <w:pStyle w:val="830"/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  <w:r/>
    </w:p>
    <w:p>
      <w:pPr>
        <w:pStyle w:val="830"/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поступление в установленный срок задатка на счет, указанный в информационном сообщении не подтверждено.</w:t>
      </w:r>
      <w:r/>
    </w:p>
    <w:p>
      <w:pPr>
        <w:pStyle w:val="830"/>
        <w:ind w:left="0" w:firstLine="680"/>
        <w:jc w:val="both"/>
        <w:tabs>
          <w:tab w:val="left" w:pos="4500" w:leader="none"/>
        </w:tabs>
      </w:pPr>
      <w:r>
        <w:rPr>
          <w:i w:val="0"/>
          <w:iCs w:val="0"/>
          <w:color w:val="000000"/>
        </w:rPr>
        <w:t xml:space="preserve">Дата рассмотрения заявок и документов претендентов, а также дата определения участников продажи </w:t>
      </w:r>
      <w:r>
        <w:rPr>
          <w:i w:val="0"/>
          <w:iCs w:val="0"/>
          <w:color w:val="000000"/>
          <w:highlight w:val="none"/>
        </w:rPr>
        <w:t xml:space="preserve">24</w:t>
      </w:r>
      <w:r>
        <w:rPr>
          <w:i w:val="0"/>
          <w:iCs w:val="0"/>
          <w:color w:val="000000"/>
          <w:highlight w:val="none"/>
        </w:rPr>
        <w:t xml:space="preserve"> </w:t>
      </w:r>
      <w:r>
        <w:rPr>
          <w:i w:val="0"/>
          <w:iCs w:val="0"/>
          <w:color w:val="000000"/>
          <w:highlight w:val="none"/>
        </w:rPr>
        <w:t xml:space="preserve">февраля 2025г.</w:t>
      </w:r>
      <w:r>
        <w:rPr>
          <w:i w:val="0"/>
          <w:iCs w:val="0"/>
          <w:color w:val="000000"/>
          <w:highlight w:val="yellow"/>
        </w:rPr>
        <w:t xml:space="preserve"> 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rPr>
          <w:b/>
        </w:rPr>
        <w:outlineLvl w:val="1"/>
      </w:pPr>
      <w:r>
        <w:rPr>
          <w:b/>
        </w:rPr>
        <w:t xml:space="preserve">Одновременно с заявкой претенденты представляют следующие документы:</w:t>
      </w:r>
      <w:r>
        <w:rPr>
          <w:b/>
        </w:rPr>
      </w:r>
      <w:r>
        <w:rPr>
          <w:b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rPr>
          <w:highlight w:val="yellow"/>
        </w:rPr>
        <w:outlineLvl w:val="1"/>
      </w:pPr>
      <w:r>
        <w:t xml:space="preserve">юридические лица: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rPr>
          <w:highlight w:val="yellow"/>
        </w:rPr>
        <w:outlineLvl w:val="1"/>
      </w:pPr>
      <w:r>
        <w:t xml:space="preserve">копии учредительных документов;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rPr>
          <w:highlight w:val="yellow"/>
        </w:rPr>
        <w:outlineLvl w:val="1"/>
      </w:pPr>
      <w: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</w:t>
      </w:r>
      <w:r>
        <w:rPr>
          <w:highlight w:val="yellow"/>
        </w:rPr>
        <w:t xml:space="preserve"> </w:t>
      </w:r>
      <w:r>
        <w:t xml:space="preserve">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rPr>
          <w:highlight w:val="yellow"/>
        </w:rPr>
        <w:outlineLvl w:val="1"/>
      </w:pPr>
      <w:r>
        <w:t xml:space="preserve">документ, который подтверждает полномочия руководителя юрид</w:t>
      </w:r>
      <w:r>
        <w:t xml:space="preserve">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rPr>
          <w:highlight w:val="yellow"/>
        </w:rPr>
        <w:outlineLvl w:val="1"/>
      </w:pPr>
      <w:r>
        <w:t xml:space="preserve">физические лица предъявляют документ, удостоверяющий личность, или представляют копии всех его листов.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outlineLvl w:val="1"/>
      </w:pPr>
      <w: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 w:tooltip="consultantplus://offline/main?base=LAW;n=112770;fld=134;dst=101017" w:history="1">
        <w:r>
          <w:rPr>
            <w:rStyle w:val="836"/>
          </w:rPr>
          <w:t xml:space="preserve">порядке</w:t>
        </w:r>
      </w:hyperlink>
      <w:r>
        <w:t xml:space="preserve">, или нотариаль</w:t>
      </w:r>
      <w:r>
        <w:t xml:space="preserve">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rPr>
          <w:i/>
          <w:iCs/>
          <w:color w:val="5565af"/>
        </w:rPr>
        <w:outlineLvl w:val="1"/>
      </w:pPr>
      <w:r>
        <w:rPr>
          <w:i w:val="0"/>
          <w:iCs w:val="0"/>
          <w:color w:val="000000"/>
        </w:rPr>
        <w:t xml:space="preserve">Все документы должны предоставляться в электронной форме или в виде электронных</w:t>
      </w:r>
      <w:r>
        <w:rPr>
          <w:i w:val="0"/>
          <w:iCs w:val="0"/>
          <w:color w:val="000000"/>
        </w:rPr>
        <w:t xml:space="preserve">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их имени. </w:t>
      </w:r>
      <w:r>
        <w:rPr>
          <w:i/>
          <w:iCs/>
          <w:color w:val="5565af"/>
        </w:rPr>
      </w:r>
      <w:r>
        <w:rPr>
          <w:i/>
          <w:iCs/>
          <w:color w:val="5565af"/>
        </w:rPr>
      </w:r>
    </w:p>
    <w:p>
      <w:pPr>
        <w:pStyle w:val="830"/>
        <w:ind w:left="0" w:firstLine="680"/>
        <w:jc w:val="both"/>
        <w:rPr>
          <w:highlight w:val="none"/>
        </w:rPr>
      </w:pPr>
      <w:r>
        <w:rPr>
          <w:b/>
        </w:rPr>
        <w:t xml:space="preserve">Дата и время проведения продажи  посредством публичного предложения:</w:t>
      </w:r>
      <w:r>
        <w:rPr>
          <w:color w:val="000000"/>
        </w:rPr>
        <w:t xml:space="preserve"> 25</w:t>
      </w:r>
      <w:r>
        <w:rPr>
          <w:i w:val="0"/>
          <w:iCs w:val="0"/>
          <w:color w:val="000000"/>
          <w:highlight w:val="none"/>
        </w:rPr>
        <w:t xml:space="preserve"> февраля 2025 г. в 10:00 ч. </w:t>
      </w:r>
      <w:r>
        <w:rPr>
          <w:highlight w:val="none"/>
        </w:rPr>
      </w:r>
      <w:r>
        <w:rPr>
          <w:highlight w:val="none"/>
        </w:rPr>
      </w:r>
    </w:p>
    <w:p>
      <w:pPr>
        <w:pStyle w:val="830"/>
        <w:ind w:left="0" w:firstLine="680"/>
        <w:jc w:val="both"/>
      </w:pPr>
      <w:r>
        <w:rPr>
          <w:b/>
        </w:rPr>
        <w:t xml:space="preserve">Место проведения продажи посредством публичного предложения:</w:t>
      </w:r>
      <w:r>
        <w:t xml:space="preserve"> электронная площадка - УТП АО «Сбербанк – АСТ» на сайте </w:t>
      </w:r>
      <w:hyperlink r:id="rId14" w:tooltip="http://utp.sberbank-ast.ru/" w:history="1">
        <w:r>
          <w:rPr>
            <w:rStyle w:val="833"/>
            <w:color w:val="000000"/>
            <w:u w:val="none"/>
          </w:rPr>
          <w:t xml:space="preserve">http://</w:t>
        </w:r>
        <w:r>
          <w:rPr>
            <w:rStyle w:val="833"/>
            <w:color w:val="000000"/>
            <w:u w:val="none"/>
            <w:lang w:val="en-US"/>
          </w:rPr>
          <w:t xml:space="preserve">utp</w:t>
        </w:r>
        <w:r>
          <w:rPr>
            <w:rStyle w:val="833"/>
            <w:color w:val="000000"/>
            <w:u w:val="none"/>
          </w:rPr>
          <w:t xml:space="preserve">.sberbank-ast.ru</w:t>
        </w:r>
      </w:hyperlink>
      <w:r>
        <w:t xml:space="preserve"> в сети «Интернет» (торговая секция «Приватизация, аренда и продажа прав»).</w:t>
      </w:r>
      <w:r/>
    </w:p>
    <w:p>
      <w:pPr>
        <w:pStyle w:val="830"/>
        <w:ind w:left="0" w:firstLine="680"/>
        <w:jc w:val="both"/>
      </w:pPr>
      <w:r>
        <w:rPr>
          <w:b/>
        </w:rPr>
        <w:t xml:space="preserve">Правила проведения продажи  посредством публичного предложения:</w:t>
      </w:r>
      <w:r>
        <w:t xml:space="preserve"> </w:t>
      </w:r>
      <w:r>
        <w:rPr>
          <w:rFonts w:ascii="Arial" w:hAnsi="Arial"/>
          <w:b w:val="0"/>
          <w:i w:val="0"/>
          <w:strike w:val="0"/>
          <w:sz w:val="20"/>
          <w:u w:val="none"/>
        </w:rPr>
        <w:t xml:space="preserve"> </w:t>
        <w:tab/>
      </w:r>
      <w:r>
        <w:rPr>
          <w:b w:val="0"/>
          <w:i w:val="0"/>
          <w:strike w:val="0"/>
          <w:sz w:val="28"/>
          <w:szCs w:val="28"/>
          <w:u w:val="none"/>
        </w:rPr>
        <w:t xml:space="preserve">Процедура продажи имущества проводится в день и во время, указанные в информационном сообщ</w:t>
      </w:r>
      <w:r>
        <w:rPr>
          <w:b w:val="0"/>
          <w:i w:val="0"/>
          <w:strike w:val="0"/>
          <w:sz w:val="28"/>
          <w:szCs w:val="28"/>
          <w:u w:val="none"/>
        </w:rPr>
        <w:t xml:space="preserve">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  <w:r/>
    </w:p>
    <w:p>
      <w:pPr>
        <w:pStyle w:val="830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Время прием</w:t>
      </w:r>
      <w:r>
        <w:rPr>
          <w:b w:val="0"/>
          <w:i w:val="0"/>
          <w:strike w:val="0"/>
          <w:sz w:val="28"/>
          <w:szCs w:val="28"/>
          <w:u w:val="none"/>
        </w:rPr>
        <w:t xml:space="preserve">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</w:t>
      </w:r>
      <w:r>
        <w:rPr>
          <w:b w:val="0"/>
          <w:i w:val="0"/>
          <w:strike w:val="0"/>
          <w:color w:val="000000"/>
          <w:sz w:val="28"/>
          <w:szCs w:val="28"/>
          <w:u w:val="none"/>
        </w:rPr>
        <w:t xml:space="preserve">разделом II </w:t>
      </w:r>
      <w:r>
        <w:rPr>
          <w:b w:val="0"/>
          <w:i w:val="0"/>
          <w:strike w:val="0"/>
          <w:sz w:val="28"/>
          <w:szCs w:val="28"/>
          <w:u w:val="none"/>
        </w:rPr>
        <w:t xml:space="preserve">Положения от «Об организации и проведении продажи государственного или муниципального имущества в электронной форме», ут</w:t>
      </w:r>
      <w:r>
        <w:rPr>
          <w:b w:val="0"/>
          <w:i w:val="0"/>
          <w:strike w:val="0"/>
          <w:sz w:val="28"/>
          <w:szCs w:val="28"/>
          <w:u w:val="none"/>
        </w:rPr>
        <w:t xml:space="preserve">вержденное Постановлением Правительства РФ от 27 августа 2012г. №860.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</w:t>
      </w:r>
      <w:r>
        <w:rPr>
          <w:b w:val="0"/>
          <w:i w:val="0"/>
          <w:strike w:val="0"/>
          <w:sz w:val="28"/>
          <w:szCs w:val="28"/>
          <w:u w:val="none"/>
        </w:rPr>
        <w:t xml:space="preserve">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 </w:t>
      </w:r>
      <w:r>
        <w:rPr>
          <w:b w:val="0"/>
          <w:i w:val="0"/>
          <w:strike w:val="0"/>
          <w:sz w:val="28"/>
          <w:szCs w:val="28"/>
          <w:u w:val="none"/>
        </w:rPr>
        <w:t xml:space="preserve"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а) в открытой части электронной площадки - информация о начале проведения процедуры</w:t>
      </w:r>
      <w:r>
        <w:rPr>
          <w:b w:val="0"/>
          <w:i w:val="0"/>
          <w:strike w:val="0"/>
          <w:sz w:val="28"/>
          <w:szCs w:val="28"/>
          <w:u w:val="none"/>
        </w:rPr>
        <w:t xml:space="preserve">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(неподтверждения) участниками предложения о цене имущества;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 xml:space="preserve">б) в закрытой части электронной площадки - помимо информации, размеща</w:t>
      </w:r>
      <w:r>
        <w:rPr>
          <w:b w:val="0"/>
          <w:i w:val="0"/>
          <w:strike w:val="0"/>
          <w:sz w:val="28"/>
          <w:szCs w:val="28"/>
          <w:u w:val="none"/>
        </w:rPr>
        <w:t xml:space="preserve">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b w:val="0"/>
          <w:i w:val="0"/>
          <w:strike w:val="0"/>
          <w:sz w:val="28"/>
          <w:szCs w:val="28"/>
          <w:u w:val="none"/>
        </w:rPr>
        <w:tab/>
        <w:t xml:space="preserve">Во время проведения процедуры продажи имущества п</w:t>
      </w:r>
      <w:r>
        <w:rPr>
          <w:b w:val="0"/>
          <w:i w:val="0"/>
          <w:strike w:val="0"/>
          <w:sz w:val="28"/>
          <w:szCs w:val="28"/>
          <w:u w:val="none"/>
        </w:rPr>
        <w:t xml:space="preserve">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b/>
          <w:color w:val="000000"/>
        </w:rPr>
        <w:t xml:space="preserve">Срок заключения договора купли-продажи:</w:t>
      </w:r>
      <w:r>
        <w:rPr>
          <w:color w:val="000000"/>
        </w:rPr>
        <w:t xml:space="preserve"> Не позднее чем через 5 рабочих дней с даты проведения продажи с победителем заключается договор купли-продажи имущества.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i w:val="0"/>
          <w:iCs w:val="0"/>
          <w:color w:val="000000"/>
        </w:rPr>
        <w:t xml:space="preserve">При уклонении или отказе по</w:t>
      </w:r>
      <w:r>
        <w:rPr>
          <w:i w:val="0"/>
          <w:iCs w:val="0"/>
          <w:color w:val="000000"/>
        </w:rPr>
        <w:t xml:space="preserve">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  <w:r/>
    </w:p>
    <w:p>
      <w:pPr>
        <w:pStyle w:val="830"/>
        <w:ind w:left="0" w:firstLine="680"/>
        <w:jc w:val="both"/>
      </w:pPr>
      <w:r>
        <w:rPr>
          <w:b/>
        </w:rPr>
        <w:t xml:space="preserve">Порядок ознакомления покупателей с иной информацией, условиями договора купли-продажи:</w:t>
      </w:r>
      <w:r>
        <w:rPr>
          <w:color w:val="000000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(Приложение №3) и получить иную информацию на официальном сайте Российской Федерации для размещения информации о проведении торгов </w:t>
      </w:r>
      <w:r>
        <w:rPr>
          <w:rStyle w:val="833"/>
          <w:color w:val="000000"/>
          <w:sz w:val="28"/>
          <w:szCs w:val="28"/>
          <w:u w:val="none"/>
        </w:rPr>
        <w:t xml:space="preserve">https://torgi.gov.ru/new/</w:t>
      </w:r>
      <w:r>
        <w:rPr>
          <w:color w:val="000000"/>
          <w:sz w:val="28"/>
          <w:szCs w:val="28"/>
        </w:rPr>
        <w:t xml:space="preserve">, на о</w:t>
      </w:r>
      <w:r>
        <w:rPr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фициальным сайте органов местного самоуправления муниципального района «Ровеньский район» Белгородской области </w:t>
      </w:r>
      <w:r>
        <w:rPr>
          <w:rStyle w:val="833"/>
          <w:color w:val="000000"/>
          <w:sz w:val="28"/>
          <w:szCs w:val="28"/>
          <w:u w:val="none"/>
        </w:rPr>
        <w:t xml:space="preserve">https://rovenki-r31.gosweb.gosuslugi.ru/</w:t>
      </w:r>
      <w:r>
        <w:rPr>
          <w:color w:val="000000"/>
          <w:sz w:val="28"/>
          <w:szCs w:val="28"/>
        </w:rPr>
        <w:t xml:space="preserve"> и на электронной площадке - УТП АО «Сбербанк – АСТ»  на сайте </w:t>
      </w:r>
      <w:hyperlink r:id="rId15" w:tooltip="http://utp.sberbank-ast.ru/" w:history="1">
        <w:r>
          <w:rPr>
            <w:rStyle w:val="833"/>
            <w:color w:val="000000"/>
            <w:sz w:val="28"/>
            <w:szCs w:val="28"/>
            <w:u w:val="none"/>
          </w:rPr>
          <w:t xml:space="preserve">http://</w:t>
        </w:r>
        <w:r>
          <w:rPr>
            <w:rStyle w:val="833"/>
            <w:color w:val="000000"/>
            <w:sz w:val="28"/>
            <w:szCs w:val="28"/>
            <w:u w:val="none"/>
            <w:lang w:val="en-US"/>
          </w:rPr>
          <w:t xml:space="preserve">utp</w:t>
        </w:r>
        <w:r>
          <w:rPr>
            <w:rStyle w:val="833"/>
            <w:color w:val="000000"/>
            <w:sz w:val="28"/>
            <w:szCs w:val="28"/>
            <w:u w:val="none"/>
          </w:rPr>
          <w:t xml:space="preserve">.sberbank-ast.ru</w:t>
        </w:r>
      </w:hyperlink>
      <w:r>
        <w:rPr>
          <w:color w:val="000000"/>
          <w:sz w:val="28"/>
          <w:szCs w:val="28"/>
        </w:rPr>
        <w:t xml:space="preserve"> в сети «Интернет». 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outlineLvl w:val="1"/>
      </w:pPr>
      <w:r>
        <w:t xml:space="preserve">Любое лицо независимо от регистрации на электронной площадке вправе направить н</w:t>
      </w:r>
      <w:r>
        <w:t xml:space="preserve">а электронный адрес оператора торговой площадки АО «Сбербанк – АСТ» запрос о разъяснении размещаемой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</w:t>
      </w:r>
      <w:r>
        <w:rPr>
          <w:color w:val="000000"/>
        </w:rPr>
        <w:t xml:space="preserve">позднее </w:t>
      </w:r>
      <w:r>
        <w:rPr>
          <w:color w:val="000000"/>
          <w:highlight w:val="none"/>
        </w:rPr>
        <w:t xml:space="preserve">19 февраля 2025 года.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outlineLvl w:val="1"/>
      </w:pPr>
      <w:r>
        <w:rPr>
          <w:i w:val="0"/>
          <w:iCs w:val="0"/>
          <w:color w:val="000000"/>
        </w:rPr>
        <w:t xml:space="preserve">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/>
    </w:p>
    <w:p>
      <w:pPr>
        <w:pStyle w:val="830"/>
        <w:numPr>
          <w:ilvl w:val="0"/>
          <w:numId w:val="0"/>
        </w:numPr>
        <w:ind w:left="0" w:firstLine="680"/>
        <w:jc w:val="both"/>
        <w:outlineLvl w:val="1"/>
      </w:pPr>
      <w:r>
        <w:rPr>
          <w:b w:val="0"/>
          <w:bCs w:val="0"/>
          <w:i w:val="0"/>
          <w:iCs w:val="0"/>
          <w:color w:val="000000"/>
        </w:rPr>
        <w:t xml:space="preserve">Любое заинтересов</w:t>
      </w:r>
      <w:r>
        <w:rPr>
          <w:b w:val="0"/>
          <w:bCs w:val="0"/>
          <w:i w:val="0"/>
          <w:iCs w:val="0"/>
          <w:color w:val="000000"/>
        </w:rPr>
        <w:t xml:space="preserve">анное лицо независимо от регистрации на электронной площадке со дня начала приема заявок вправе осмотреть выставленное на продажу имущество. Показ обеспечивает администрация Ровеньского района в следующие даты: </w:t>
      </w:r>
      <w:r>
        <w:rPr>
          <w:b w:val="0"/>
          <w:bCs w:val="0"/>
          <w:i w:val="0"/>
          <w:iCs w:val="0"/>
          <w:color w:val="000000"/>
          <w:highlight w:val="none"/>
        </w:rPr>
        <w:t xml:space="preserve">30 января, 06, 13 и 20 февраля 2025 года.</w:t>
      </w:r>
      <w:r>
        <w:rPr>
          <w:b w:val="0"/>
          <w:bCs w:val="0"/>
          <w:i w:val="0"/>
          <w:iCs w:val="0"/>
          <w:color w:val="000000"/>
        </w:rPr>
        <w:t xml:space="preserve"> Для</w:t>
      </w:r>
      <w:bookmarkStart w:id="4" w:name="_GoBack"/>
      <w:r/>
      <w:bookmarkEnd w:id="4"/>
      <w:r>
        <w:rPr>
          <w:b w:val="0"/>
          <w:bCs w:val="0"/>
          <w:i w:val="0"/>
          <w:iCs w:val="0"/>
          <w:color w:val="000000"/>
        </w:rPr>
        <w:t xml:space="preserve"> осмотра объектов имущества, с учетом установленных сроков, лицо желающее осмотреть их, направляет на электронный адрес продавца </w:t>
      </w:r>
      <w:r>
        <w:rPr>
          <w:rStyle w:val="833"/>
          <w:b w:val="0"/>
          <w:bCs w:val="0"/>
          <w:i w:val="0"/>
          <w:iCs w:val="0"/>
          <w:color w:val="000000"/>
          <w:u w:val="none"/>
        </w:rPr>
        <w:t xml:space="preserve">mandrygina_mr@ro.belregion.ru</w:t>
      </w:r>
      <w:r>
        <w:rPr>
          <w:b w:val="0"/>
          <w:bCs w:val="0"/>
          <w:i w:val="0"/>
          <w:iCs w:val="0"/>
          <w:color w:val="000000"/>
        </w:rPr>
        <w:t xml:space="preserve"> запрос по форме (Приложение №2).</w:t>
      </w:r>
      <w:r/>
    </w:p>
    <w:p>
      <w:pPr>
        <w:pStyle w:val="830"/>
        <w:ind w:left="0" w:firstLine="680"/>
        <w:jc w:val="both"/>
        <w:rPr>
          <w:highlight w:val="yellow"/>
        </w:rPr>
      </w:pPr>
      <w:r>
        <w:rPr>
          <w:b w:val="0"/>
          <w:bCs w:val="0"/>
          <w:i w:val="0"/>
          <w:iCs w:val="0"/>
          <w:color w:val="000000"/>
        </w:rPr>
        <w:t xml:space="preserve">По истечении 2 рабочих дней с момента поступления запроса продавец оформляет «смотровое письмо» и направляет его на электронный адрес заявителя, указанный в запросе.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680"/>
        <w:jc w:val="both"/>
        <w:rPr>
          <w:highlight w:val="yellow"/>
        </w:rPr>
      </w:pPr>
      <w:r>
        <w:rPr>
          <w:b/>
        </w:rPr>
        <w:t xml:space="preserve">Ограничения участия отдельных категорий физических лиц и юридических лиц в приватизации муниципального имущества: </w:t>
      </w:r>
      <w:r>
        <w:t xml:space="preserve">к участию </w:t>
      </w:r>
      <w:r>
        <w:rPr>
          <w:color w:val="000000"/>
        </w:rPr>
        <w:t xml:space="preserve">в </w:t>
      </w:r>
      <w:r>
        <w:t xml:space="preserve"> продаже муниципального имущества допускаются любые физические и юридические лица, за исключением: 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680"/>
        <w:jc w:val="both"/>
        <w:rPr>
          <w:highlight w:val="yellow"/>
        </w:rPr>
      </w:pPr>
      <w:r>
        <w:t xml:space="preserve">- государственных и муниципальных унитарных предприятий, государственных и муниципальных учреждений;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680"/>
        <w:jc w:val="both"/>
        <w:rPr>
          <w:highlight w:val="yellow"/>
        </w:rPr>
      </w:pPr>
      <w:r>
        <w:t xml:space="preserve">- юридических лиц, в уставном капитале которых доля Росс</w:t>
      </w:r>
      <w:r>
        <w:t xml:space="preserve">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года №178-ФЗ «О приватизации государственного и муниципального имущества»;</w:t>
      </w:r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540"/>
        <w:jc w:val="both"/>
        <w:widowControl/>
      </w:pPr>
      <w: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tooltip="consultantplus://offline/ref=CD735DF92249256AE300504E09B27F3DF32C374B2F0972F77A2DE507B652ECF0F6C2D749h7H" w:history="1">
        <w:r>
          <w:rPr>
            <w:rStyle w:val="836"/>
          </w:rPr>
          <w:t xml:space="preserve">перечень</w:t>
        </w:r>
      </w:hyperlink>
      <w: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ascii="Arial" w:hAnsi="Arial" w:eastAsia="Courier New"/>
          <w:color w:val="000000"/>
          <w:sz w:val="16"/>
          <w:lang w:eastAsia="hi-IN"/>
        </w:rPr>
        <w:t xml:space="preserve"> </w:t>
      </w:r>
      <w:bookmarkStart w:id="5" w:name="__DdeLink__251381_342650874"/>
      <w:r>
        <w:rPr>
          <w:rFonts w:eastAsia="Courier New"/>
          <w:color w:val="000000"/>
          <w:lang w:eastAsia="hi-IN"/>
        </w:rPr>
        <w:t xml:space="preserve"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  <w:bookmarkEnd w:id="5"/>
      <w:r/>
      <w:r/>
    </w:p>
    <w:p>
      <w:pPr>
        <w:pStyle w:val="830"/>
        <w:numPr>
          <w:ilvl w:val="0"/>
          <w:numId w:val="0"/>
        </w:numPr>
        <w:ind w:left="0" w:firstLine="680"/>
        <w:jc w:val="both"/>
        <w:widowControl/>
        <w:outlineLvl w:val="1"/>
      </w:pPr>
      <w:r>
        <w:rPr>
          <w:b/>
        </w:rPr>
        <w:t xml:space="preserve">Порядок определения победителей:</w:t>
      </w:r>
      <w:r>
        <w:t xml:space="preserve"> </w:t>
      </w:r>
      <w:r/>
    </w:p>
    <w:p>
      <w:pPr>
        <w:pStyle w:val="830"/>
        <w:ind w:left="0" w:firstLine="540"/>
        <w:jc w:val="both"/>
      </w:pPr>
      <w:r>
        <w:rPr>
          <w:b w:val="0"/>
          <w:i w:val="0"/>
          <w:strike w:val="0"/>
          <w:sz w:val="28"/>
          <w:szCs w:val="28"/>
          <w:u w:val="none"/>
        </w:rPr>
        <w:t xml:space="preserve">Право приобретения муниципального имущества принадлежит участнику</w:t>
      </w:r>
      <w:r>
        <w:rPr>
          <w:b w:val="0"/>
          <w:i w:val="0"/>
          <w:strike w:val="0"/>
          <w:sz w:val="28"/>
          <w:szCs w:val="28"/>
          <w:u w:val="none"/>
        </w:rPr>
        <w:t xml:space="preserve"> продажи посредством публичного предложения,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предложения.</w:t>
      </w:r>
      <w:r/>
    </w:p>
    <w:p>
      <w:pPr>
        <w:pStyle w:val="830"/>
        <w:ind w:left="0" w:firstLine="540"/>
        <w:jc w:val="both"/>
      </w:pPr>
      <w:r>
        <w:rPr>
          <w:b w:val="0"/>
          <w:i w:val="0"/>
          <w:strike w:val="0"/>
          <w:sz w:val="28"/>
          <w:szCs w:val="28"/>
          <w:u w:val="none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  <w:r/>
    </w:p>
    <w:p>
      <w:pPr>
        <w:pStyle w:val="1198"/>
        <w:ind w:left="57" w:right="0" w:firstLine="567"/>
        <w:jc w:val="both"/>
        <w:widowControl w:val="off"/>
      </w:pPr>
      <w:r>
        <w:rPr>
          <w:rFonts w:ascii="Times New Roman" w:hAnsi="Times New Roman" w:cs="Times New Roman"/>
          <w:b/>
          <w:sz w:val="28"/>
          <w:szCs w:val="28"/>
        </w:rPr>
        <w:t xml:space="preserve">Подведение итогов аукциона: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  <w:r/>
    </w:p>
    <w:p>
      <w:pPr>
        <w:pStyle w:val="1198"/>
        <w:ind w:left="57" w:right="0" w:firstLine="567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Протокол об итогах продажи имущества посредством публичного предложения, с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198"/>
        <w:ind w:left="57" w:right="0" w:firstLine="567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ind w:left="0" w:firstLine="680"/>
        <w:jc w:val="both"/>
        <w:tabs>
          <w:tab w:val="left" w:pos="4500" w:leader="none"/>
        </w:tabs>
        <w:rPr>
          <w:highlight w:val="yellow"/>
        </w:rPr>
      </w:pPr>
      <w:r/>
      <w:bookmarkStart w:id="6" w:name="__DdeLink__382_1567635490"/>
      <w:r>
        <w:t xml:space="preserve">Место подведения итогов: Белгородская область, Ровеньский район, поселок Ровеньки, улица Ленина, дом 50. </w:t>
      </w:r>
      <w:bookmarkEnd w:id="6"/>
      <w:r>
        <w:rPr>
          <w:highlight w:val="yellow"/>
        </w:rPr>
      </w:r>
      <w:r>
        <w:rPr>
          <w:highlight w:val="yellow"/>
        </w:rPr>
      </w:r>
    </w:p>
    <w:p>
      <w:pPr>
        <w:pStyle w:val="830"/>
        <w:ind w:left="0" w:firstLine="680"/>
        <w:jc w:val="both"/>
        <w:tabs>
          <w:tab w:val="left" w:pos="4500" w:leader="none"/>
        </w:tabs>
      </w:pPr>
      <w:r>
        <w:rPr>
          <w:b/>
        </w:rPr>
        <w:t xml:space="preserve">Сведения обо всех предыдущих торгах по продаже муниципального имущества, объявленных в течение года, предшествующего его продаже, и об итогах торгов по продаже такого имущества</w:t>
      </w:r>
      <w:r>
        <w:t xml:space="preserve">:</w:t>
      </w:r>
      <w:r>
        <w:rPr>
          <w:i/>
          <w:iCs/>
          <w:color w:val="7477b8"/>
        </w:rPr>
        <w:t xml:space="preserve"> </w:t>
      </w:r>
      <w:r>
        <w:rPr>
          <w:i w:val="0"/>
          <w:iCs w:val="0"/>
          <w:color w:val="000000"/>
        </w:rPr>
        <w:t xml:space="preserve">в предшествующем году муниципальное имущество выставлялось на аукцион, который  не состоялся.</w:t>
      </w:r>
      <w:r/>
    </w:p>
    <w:p>
      <w:pPr>
        <w:pStyle w:val="830"/>
        <w:ind w:left="680" w:firstLine="0"/>
        <w:jc w:val="both"/>
        <w:rPr>
          <w:i w:val="0"/>
          <w:iCs w:val="0"/>
          <w:color w:val="000000"/>
        </w:rPr>
      </w:pPr>
      <w:r>
        <w:rPr>
          <w:i w:val="0"/>
          <w:iCs w:val="0"/>
          <w:color w:val="000000"/>
        </w:rPr>
      </w:r>
      <w:r>
        <w:rPr>
          <w:i w:val="0"/>
          <w:iCs w:val="0"/>
          <w:color w:val="000000"/>
        </w:rPr>
      </w:r>
      <w:r>
        <w:rPr>
          <w:i w:val="0"/>
          <w:iCs w:val="0"/>
          <w:color w:val="000000"/>
        </w:rPr>
      </w:r>
    </w:p>
    <w:p>
      <w:pPr>
        <w:pStyle w:val="830"/>
        <w:ind w:left="680" w:firstLine="0"/>
        <w:jc w:val="both"/>
        <w:rPr>
          <w:i w:val="0"/>
          <w:iCs w:val="0"/>
          <w:color w:val="000000"/>
        </w:rPr>
      </w:pPr>
      <w:r>
        <w:rPr>
          <w:i w:val="0"/>
          <w:iCs w:val="0"/>
          <w:color w:val="000000"/>
        </w:rPr>
      </w:r>
      <w:r>
        <w:rPr>
          <w:i w:val="0"/>
          <w:iCs w:val="0"/>
          <w:color w:val="000000"/>
        </w:rPr>
      </w:r>
      <w:r>
        <w:rPr>
          <w:i w:val="0"/>
          <w:iCs w:val="0"/>
          <w:color w:val="000000"/>
        </w:rPr>
      </w:r>
    </w:p>
    <w:p>
      <w:pPr>
        <w:pStyle w:val="830"/>
        <w:ind w:left="0" w:firstLine="0"/>
      </w:pPr>
      <w:r/>
      <w:r/>
    </w:p>
    <w:sectPr>
      <w:footnotePr/>
      <w:endnotePr/>
      <w:type w:val="nextPage"/>
      <w:pgSz w:w="11906" w:h="16838" w:orient="portrait"/>
      <w:pgMar w:top="850" w:right="567" w:bottom="850" w:left="1417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Calibri">
    <w:panose1 w:val="020F050202020403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1"/>
    <w:link w:val="1194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character" w:styleId="685">
    <w:name w:val="Caption Char"/>
    <w:basedOn w:val="1195"/>
    <w:link w:val="683"/>
    <w:uiPriority w:val="99"/>
  </w:style>
  <w:style w:type="table" w:styleId="686">
    <w:name w:val="Table Grid"/>
    <w:basedOn w:val="12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12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12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12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12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12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12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ind w:left="680" w:hanging="680"/>
      <w:jc w:val="left"/>
      <w:widowControl w:val="off"/>
    </w:pPr>
    <w:rPr>
      <w:rFonts w:ascii="Times New Roman" w:hAnsi="Times New Roman" w:eastAsia="Times New Roman" w:cs="Times New Roman"/>
      <w:color w:val="00000a"/>
      <w:sz w:val="28"/>
      <w:szCs w:val="28"/>
      <w:lang w:val="ru-RU" w:eastAsia="ru-RU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Основной текст Знак"/>
    <w:basedOn w:val="831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3" w:customStyle="1">
    <w:name w:val="Интернет-ссылка"/>
    <w:basedOn w:val="831"/>
    <w:rPr>
      <w:color w:val="0000ff"/>
      <w:u w:val="single"/>
    </w:rPr>
  </w:style>
  <w:style w:type="character" w:styleId="834" w:customStyle="1">
    <w:name w:val="ListLabel 1"/>
    <w:qFormat/>
  </w:style>
  <w:style w:type="character" w:styleId="835" w:customStyle="1">
    <w:name w:val="ListLabel 2"/>
    <w:qFormat/>
    <w:rPr>
      <w:lang w:val="en-US"/>
    </w:rPr>
  </w:style>
  <w:style w:type="character" w:styleId="836" w:customStyle="1">
    <w:name w:val="ListLabel 3"/>
    <w:qFormat/>
  </w:style>
  <w:style w:type="character" w:styleId="837" w:customStyle="1">
    <w:name w:val="ListLabel 4"/>
    <w:qFormat/>
    <w:rPr>
      <w:rFonts w:eastAsia="Calibri"/>
      <w:lang w:eastAsia="en-US"/>
    </w:rPr>
  </w:style>
  <w:style w:type="character" w:styleId="838" w:customStyle="1">
    <w:name w:val="ListLabel 5"/>
    <w:qFormat/>
  </w:style>
  <w:style w:type="character" w:styleId="839" w:customStyle="1">
    <w:name w:val="ListLabel 6"/>
    <w:qFormat/>
    <w:rPr>
      <w:lang w:val="en-US"/>
    </w:rPr>
  </w:style>
  <w:style w:type="character" w:styleId="840" w:customStyle="1">
    <w:name w:val="ListLabel 7"/>
    <w:qFormat/>
  </w:style>
  <w:style w:type="character" w:styleId="841" w:customStyle="1">
    <w:name w:val="ListLabel 8"/>
    <w:qFormat/>
    <w:rPr>
      <w:rFonts w:eastAsia="Calibri"/>
      <w:lang w:eastAsia="en-US"/>
    </w:rPr>
  </w:style>
  <w:style w:type="character" w:styleId="842" w:customStyle="1">
    <w:name w:val="ListLabel 9"/>
    <w:qFormat/>
  </w:style>
  <w:style w:type="character" w:styleId="843" w:customStyle="1">
    <w:name w:val="ListLabel 10"/>
    <w:qFormat/>
    <w:rPr>
      <w:lang w:val="en-US"/>
    </w:rPr>
  </w:style>
  <w:style w:type="character" w:styleId="844" w:customStyle="1">
    <w:name w:val="ListLabel 11"/>
    <w:qFormat/>
  </w:style>
  <w:style w:type="character" w:styleId="845" w:customStyle="1">
    <w:name w:val="ListLabel 12"/>
    <w:qFormat/>
    <w:rPr>
      <w:rFonts w:eastAsia="Calibri"/>
      <w:lang w:eastAsia="en-US"/>
    </w:rPr>
  </w:style>
  <w:style w:type="character" w:styleId="846" w:customStyle="1">
    <w:name w:val="ListLabel 13"/>
    <w:qFormat/>
  </w:style>
  <w:style w:type="character" w:styleId="847" w:customStyle="1">
    <w:name w:val="ListLabel 14"/>
    <w:qFormat/>
    <w:rPr>
      <w:lang w:val="en-US"/>
    </w:rPr>
  </w:style>
  <w:style w:type="character" w:styleId="848" w:customStyle="1">
    <w:name w:val="ListLabel 15"/>
    <w:qFormat/>
  </w:style>
  <w:style w:type="character" w:styleId="849" w:customStyle="1">
    <w:name w:val="ListLabel 16"/>
    <w:qFormat/>
    <w:rPr>
      <w:rFonts w:eastAsia="Calibri"/>
      <w:lang w:eastAsia="en-US"/>
    </w:rPr>
  </w:style>
  <w:style w:type="character" w:styleId="850" w:customStyle="1">
    <w:name w:val="ListLabel 17"/>
    <w:qFormat/>
  </w:style>
  <w:style w:type="character" w:styleId="851" w:customStyle="1">
    <w:name w:val="ListLabel 18"/>
    <w:qFormat/>
    <w:rPr>
      <w:lang w:val="en-US"/>
    </w:rPr>
  </w:style>
  <w:style w:type="character" w:styleId="852" w:customStyle="1">
    <w:name w:val="ListLabel 19"/>
    <w:qFormat/>
  </w:style>
  <w:style w:type="character" w:styleId="853" w:customStyle="1">
    <w:name w:val="ListLabel 20"/>
    <w:qFormat/>
    <w:rPr>
      <w:rFonts w:eastAsia="Calibri"/>
      <w:lang w:eastAsia="en-US"/>
    </w:rPr>
  </w:style>
  <w:style w:type="character" w:styleId="854" w:customStyle="1">
    <w:name w:val="ListLabel 21"/>
    <w:qFormat/>
  </w:style>
  <w:style w:type="character" w:styleId="855" w:customStyle="1">
    <w:name w:val="ListLabel 22"/>
    <w:qFormat/>
    <w:rPr>
      <w:lang w:val="en-US"/>
    </w:rPr>
  </w:style>
  <w:style w:type="character" w:styleId="856" w:customStyle="1">
    <w:name w:val="ListLabel 23"/>
    <w:qFormat/>
  </w:style>
  <w:style w:type="character" w:styleId="857" w:customStyle="1">
    <w:name w:val="ListLabel 24"/>
    <w:qFormat/>
    <w:rPr>
      <w:rFonts w:eastAsia="Calibri"/>
      <w:lang w:eastAsia="en-US"/>
    </w:rPr>
  </w:style>
  <w:style w:type="character" w:styleId="858" w:customStyle="1">
    <w:name w:val="ListLabel 25"/>
    <w:qFormat/>
  </w:style>
  <w:style w:type="character" w:styleId="859" w:customStyle="1">
    <w:name w:val="ListLabel 26"/>
    <w:qFormat/>
    <w:rPr>
      <w:lang w:val="en-US"/>
    </w:rPr>
  </w:style>
  <w:style w:type="character" w:styleId="860" w:customStyle="1">
    <w:name w:val="ListLabel 27"/>
    <w:qFormat/>
  </w:style>
  <w:style w:type="character" w:styleId="861" w:customStyle="1">
    <w:name w:val="ListLabel 28"/>
    <w:qFormat/>
    <w:rPr>
      <w:rFonts w:eastAsia="Calibri"/>
      <w:lang w:eastAsia="en-US"/>
    </w:rPr>
  </w:style>
  <w:style w:type="character" w:styleId="862" w:customStyle="1">
    <w:name w:val="ListLabel 29"/>
    <w:qFormat/>
  </w:style>
  <w:style w:type="character" w:styleId="863" w:customStyle="1">
    <w:name w:val="ListLabel 30"/>
    <w:qFormat/>
    <w:rPr>
      <w:lang w:val="en-US"/>
    </w:rPr>
  </w:style>
  <w:style w:type="character" w:styleId="864" w:customStyle="1">
    <w:name w:val="ListLabel 31"/>
    <w:qFormat/>
  </w:style>
  <w:style w:type="character" w:styleId="865" w:customStyle="1">
    <w:name w:val="ListLabel 32"/>
    <w:qFormat/>
    <w:rPr>
      <w:rFonts w:eastAsia="Calibri"/>
      <w:lang w:eastAsia="en-US"/>
    </w:rPr>
  </w:style>
  <w:style w:type="character" w:styleId="866" w:customStyle="1">
    <w:name w:val="ListLabel 33"/>
    <w:qFormat/>
  </w:style>
  <w:style w:type="character" w:styleId="867" w:customStyle="1">
    <w:name w:val="ListLabel 34"/>
    <w:qFormat/>
    <w:rPr>
      <w:lang w:val="en-US"/>
    </w:rPr>
  </w:style>
  <w:style w:type="character" w:styleId="868" w:customStyle="1">
    <w:name w:val="ListLabel 35"/>
    <w:qFormat/>
  </w:style>
  <w:style w:type="character" w:styleId="869" w:customStyle="1">
    <w:name w:val="ListLabel 36"/>
    <w:qFormat/>
    <w:rPr>
      <w:rFonts w:eastAsia="Calibri"/>
      <w:lang w:eastAsia="en-US"/>
    </w:rPr>
  </w:style>
  <w:style w:type="character" w:styleId="870" w:customStyle="1">
    <w:name w:val="ListLabel 37"/>
    <w:qFormat/>
  </w:style>
  <w:style w:type="character" w:styleId="871" w:customStyle="1">
    <w:name w:val="ListLabel 38"/>
    <w:qFormat/>
    <w:rPr>
      <w:lang w:val="en-US"/>
    </w:rPr>
  </w:style>
  <w:style w:type="character" w:styleId="872" w:customStyle="1">
    <w:name w:val="ListLabel 39"/>
    <w:qFormat/>
  </w:style>
  <w:style w:type="character" w:styleId="873" w:customStyle="1">
    <w:name w:val="ListLabel 40"/>
    <w:qFormat/>
    <w:rPr>
      <w:rFonts w:eastAsia="Calibri"/>
      <w:lang w:eastAsia="en-US"/>
    </w:rPr>
  </w:style>
  <w:style w:type="character" w:styleId="874" w:customStyle="1">
    <w:name w:val="ListLabel 41"/>
    <w:qFormat/>
  </w:style>
  <w:style w:type="character" w:styleId="875" w:customStyle="1">
    <w:name w:val="ListLabel 42"/>
    <w:qFormat/>
    <w:rPr>
      <w:lang w:val="en-US"/>
    </w:rPr>
  </w:style>
  <w:style w:type="character" w:styleId="876" w:customStyle="1">
    <w:name w:val="ListLabel 43"/>
    <w:qFormat/>
  </w:style>
  <w:style w:type="character" w:styleId="877" w:customStyle="1">
    <w:name w:val="ListLabel 44"/>
    <w:qFormat/>
    <w:rPr>
      <w:rFonts w:eastAsia="Calibri"/>
      <w:lang w:eastAsia="en-US"/>
    </w:rPr>
  </w:style>
  <w:style w:type="character" w:styleId="878" w:customStyle="1">
    <w:name w:val="ListLabel 45"/>
    <w:qFormat/>
  </w:style>
  <w:style w:type="character" w:styleId="879" w:customStyle="1">
    <w:name w:val="ListLabel 46"/>
    <w:qFormat/>
    <w:rPr>
      <w:lang w:val="en-US"/>
    </w:rPr>
  </w:style>
  <w:style w:type="character" w:styleId="880" w:customStyle="1">
    <w:name w:val="ListLabel 47"/>
    <w:qFormat/>
  </w:style>
  <w:style w:type="character" w:styleId="881" w:customStyle="1">
    <w:name w:val="ListLabel 48"/>
    <w:qFormat/>
    <w:rPr>
      <w:rFonts w:eastAsia="Calibri"/>
      <w:lang w:eastAsia="en-US"/>
    </w:rPr>
  </w:style>
  <w:style w:type="character" w:styleId="882" w:customStyle="1">
    <w:name w:val="ListLabel 49"/>
    <w:qFormat/>
  </w:style>
  <w:style w:type="character" w:styleId="883" w:customStyle="1">
    <w:name w:val="ListLabel 50"/>
    <w:qFormat/>
    <w:rPr>
      <w:lang w:val="en-US"/>
    </w:rPr>
  </w:style>
  <w:style w:type="character" w:styleId="884" w:customStyle="1">
    <w:name w:val="ListLabel 51"/>
    <w:qFormat/>
  </w:style>
  <w:style w:type="character" w:styleId="885" w:customStyle="1">
    <w:name w:val="ListLabel 52"/>
    <w:qFormat/>
    <w:rPr>
      <w:rFonts w:eastAsia="Calibri"/>
      <w:lang w:eastAsia="en-US"/>
    </w:rPr>
  </w:style>
  <w:style w:type="character" w:styleId="886" w:customStyle="1">
    <w:name w:val="ListLabel 53"/>
    <w:qFormat/>
  </w:style>
  <w:style w:type="character" w:styleId="887" w:customStyle="1">
    <w:name w:val="ListLabel 54"/>
    <w:qFormat/>
    <w:rPr>
      <w:lang w:val="en-US"/>
    </w:rPr>
  </w:style>
  <w:style w:type="character" w:styleId="888" w:customStyle="1">
    <w:name w:val="ListLabel 55"/>
    <w:qFormat/>
  </w:style>
  <w:style w:type="character" w:styleId="889" w:customStyle="1">
    <w:name w:val="ListLabel 56"/>
    <w:qFormat/>
    <w:rPr>
      <w:rFonts w:eastAsia="Calibri"/>
      <w:lang w:eastAsia="en-US"/>
    </w:rPr>
  </w:style>
  <w:style w:type="character" w:styleId="890" w:customStyle="1">
    <w:name w:val="ListLabel 57"/>
    <w:qFormat/>
  </w:style>
  <w:style w:type="character" w:styleId="891" w:customStyle="1">
    <w:name w:val="ListLabel 58"/>
    <w:qFormat/>
    <w:rPr>
      <w:lang w:val="en-US"/>
    </w:rPr>
  </w:style>
  <w:style w:type="character" w:styleId="892" w:customStyle="1">
    <w:name w:val="ListLabel 59"/>
    <w:qFormat/>
  </w:style>
  <w:style w:type="character" w:styleId="893" w:customStyle="1">
    <w:name w:val="ListLabel 60"/>
    <w:qFormat/>
    <w:rPr>
      <w:rFonts w:eastAsia="Calibri"/>
      <w:lang w:eastAsia="en-US"/>
    </w:rPr>
  </w:style>
  <w:style w:type="character" w:styleId="894" w:customStyle="1">
    <w:name w:val="ListLabel 61"/>
    <w:qFormat/>
  </w:style>
  <w:style w:type="character" w:styleId="895" w:customStyle="1">
    <w:name w:val="ListLabel 62"/>
    <w:qFormat/>
    <w:rPr>
      <w:lang w:val="en-US"/>
    </w:rPr>
  </w:style>
  <w:style w:type="character" w:styleId="896" w:customStyle="1">
    <w:name w:val="ListLabel 63"/>
    <w:qFormat/>
  </w:style>
  <w:style w:type="character" w:styleId="897" w:customStyle="1">
    <w:name w:val="ListLabel 64"/>
    <w:qFormat/>
    <w:rPr>
      <w:rFonts w:eastAsia="Calibri"/>
      <w:lang w:eastAsia="en-US"/>
    </w:rPr>
  </w:style>
  <w:style w:type="character" w:styleId="898" w:customStyle="1">
    <w:name w:val="ListLabel 65"/>
    <w:qFormat/>
  </w:style>
  <w:style w:type="character" w:styleId="899" w:customStyle="1">
    <w:name w:val="ListLabel 66"/>
    <w:qFormat/>
    <w:rPr>
      <w:lang w:val="en-US"/>
    </w:rPr>
  </w:style>
  <w:style w:type="character" w:styleId="900" w:customStyle="1">
    <w:name w:val="ListLabel 67"/>
    <w:qFormat/>
  </w:style>
  <w:style w:type="character" w:styleId="901" w:customStyle="1">
    <w:name w:val="ListLabel 68"/>
    <w:qFormat/>
    <w:rPr>
      <w:rFonts w:eastAsia="Calibri"/>
      <w:lang w:eastAsia="en-US"/>
    </w:rPr>
  </w:style>
  <w:style w:type="character" w:styleId="902" w:customStyle="1">
    <w:name w:val="ListLabel 69"/>
    <w:qFormat/>
  </w:style>
  <w:style w:type="character" w:styleId="903" w:customStyle="1">
    <w:name w:val="ListLabel 70"/>
    <w:qFormat/>
    <w:rPr>
      <w:lang w:val="en-US"/>
    </w:rPr>
  </w:style>
  <w:style w:type="character" w:styleId="904" w:customStyle="1">
    <w:name w:val="ListLabel 71"/>
    <w:qFormat/>
  </w:style>
  <w:style w:type="character" w:styleId="905" w:customStyle="1">
    <w:name w:val="ListLabel 72"/>
    <w:qFormat/>
    <w:rPr>
      <w:rFonts w:eastAsia="Calibri"/>
      <w:lang w:eastAsia="en-US"/>
    </w:rPr>
  </w:style>
  <w:style w:type="character" w:styleId="906" w:customStyle="1">
    <w:name w:val="ListLabel 73"/>
    <w:qFormat/>
  </w:style>
  <w:style w:type="character" w:styleId="907" w:customStyle="1">
    <w:name w:val="ListLabel 74"/>
    <w:qFormat/>
    <w:rPr>
      <w:lang w:val="en-US"/>
    </w:rPr>
  </w:style>
  <w:style w:type="character" w:styleId="908" w:customStyle="1">
    <w:name w:val="ListLabel 75"/>
    <w:qFormat/>
  </w:style>
  <w:style w:type="character" w:styleId="909" w:customStyle="1">
    <w:name w:val="ListLabel 76"/>
    <w:qFormat/>
    <w:rPr>
      <w:rFonts w:eastAsia="Calibri"/>
      <w:lang w:eastAsia="en-US"/>
    </w:rPr>
  </w:style>
  <w:style w:type="character" w:styleId="910" w:customStyle="1">
    <w:name w:val="ListLabel 77"/>
    <w:qFormat/>
  </w:style>
  <w:style w:type="character" w:styleId="911" w:customStyle="1">
    <w:name w:val="ListLabel 78"/>
    <w:qFormat/>
    <w:rPr>
      <w:lang w:val="en-US"/>
    </w:rPr>
  </w:style>
  <w:style w:type="character" w:styleId="912" w:customStyle="1">
    <w:name w:val="ListLabel 79"/>
    <w:qFormat/>
  </w:style>
  <w:style w:type="character" w:styleId="913" w:customStyle="1">
    <w:name w:val="ListLabel 80"/>
    <w:qFormat/>
    <w:rPr>
      <w:rFonts w:eastAsia="Calibri"/>
      <w:lang w:eastAsia="en-US"/>
    </w:rPr>
  </w:style>
  <w:style w:type="character" w:styleId="914">
    <w:name w:val="ListLabel 81"/>
    <w:qFormat/>
  </w:style>
  <w:style w:type="character" w:styleId="915">
    <w:name w:val="ListLabel 82"/>
    <w:qFormat/>
    <w:rPr>
      <w:lang w:val="en-US"/>
    </w:rPr>
  </w:style>
  <w:style w:type="character" w:styleId="916">
    <w:name w:val="ListLabel 83"/>
    <w:qFormat/>
  </w:style>
  <w:style w:type="character" w:styleId="917">
    <w:name w:val="ListLabel 84"/>
    <w:qFormat/>
  </w:style>
  <w:style w:type="character" w:styleId="918">
    <w:name w:val="ListLabel 85"/>
    <w:qFormat/>
  </w:style>
  <w:style w:type="character" w:styleId="919">
    <w:name w:val="ListLabel 86"/>
    <w:qFormat/>
    <w:rPr>
      <w:lang w:val="en-US"/>
    </w:rPr>
  </w:style>
  <w:style w:type="character" w:styleId="920">
    <w:name w:val="ListLabel 87"/>
    <w:qFormat/>
  </w:style>
  <w:style w:type="character" w:styleId="921">
    <w:name w:val="ListLabel 88"/>
    <w:qFormat/>
  </w:style>
  <w:style w:type="character" w:styleId="922">
    <w:name w:val="ListLabel 89"/>
    <w:qFormat/>
  </w:style>
  <w:style w:type="character" w:styleId="923">
    <w:name w:val="ListLabel 90"/>
    <w:qFormat/>
    <w:rPr>
      <w:lang w:val="en-US"/>
    </w:rPr>
  </w:style>
  <w:style w:type="character" w:styleId="924">
    <w:name w:val="ListLabel 91"/>
    <w:qFormat/>
  </w:style>
  <w:style w:type="character" w:styleId="925">
    <w:name w:val="ListLabel 92"/>
    <w:qFormat/>
  </w:style>
  <w:style w:type="character" w:styleId="926">
    <w:name w:val="ListLabel 93"/>
    <w:qFormat/>
  </w:style>
  <w:style w:type="character" w:styleId="927">
    <w:name w:val="ListLabel 94"/>
    <w:qFormat/>
    <w:rPr>
      <w:lang w:val="en-US"/>
    </w:rPr>
  </w:style>
  <w:style w:type="character" w:styleId="928">
    <w:name w:val="ListLabel 95"/>
    <w:qFormat/>
  </w:style>
  <w:style w:type="character" w:styleId="929">
    <w:name w:val="ListLabel 96"/>
    <w:qFormat/>
  </w:style>
  <w:style w:type="character" w:styleId="930">
    <w:name w:val="Выделение жирным"/>
    <w:qFormat/>
    <w:rPr>
      <w:b/>
      <w:bCs/>
    </w:rPr>
  </w:style>
  <w:style w:type="character" w:styleId="931">
    <w:name w:val="ListLabel 97"/>
    <w:qFormat/>
  </w:style>
  <w:style w:type="character" w:styleId="932">
    <w:name w:val="ListLabel 98"/>
    <w:qFormat/>
    <w:rPr>
      <w:lang w:val="en-US"/>
    </w:rPr>
  </w:style>
  <w:style w:type="character" w:styleId="933">
    <w:name w:val="ListLabel 99"/>
    <w:qFormat/>
    <w:rPr>
      <w:sz w:val="28"/>
      <w:szCs w:val="28"/>
      <w:highlight w:val="cyan"/>
    </w:rPr>
  </w:style>
  <w:style w:type="character" w:styleId="934">
    <w:name w:val="ListLabel 100"/>
    <w:qFormat/>
    <w:rPr>
      <w:highlight w:val="yellow"/>
    </w:rPr>
  </w:style>
  <w:style w:type="character" w:styleId="935">
    <w:name w:val="ListLabel 101"/>
    <w:qFormat/>
    <w:rPr>
      <w:highlight w:val="yellow"/>
      <w:lang w:val="en-US"/>
    </w:rPr>
  </w:style>
  <w:style w:type="character" w:styleId="936">
    <w:name w:val="ListLabel 102"/>
    <w:qFormat/>
    <w:rPr>
      <w:highlight w:val="yellow"/>
    </w:rPr>
  </w:style>
  <w:style w:type="character" w:styleId="937">
    <w:name w:val="ListLabel 103"/>
    <w:qFormat/>
    <w:rPr>
      <w:highlight w:val="yellow"/>
    </w:rPr>
  </w:style>
  <w:style w:type="character" w:styleId="938">
    <w:name w:val="ListLabel 104"/>
    <w:qFormat/>
  </w:style>
  <w:style w:type="character" w:styleId="939">
    <w:name w:val="ListLabel 105"/>
    <w:qFormat/>
    <w:rPr>
      <w:lang w:val="en-US"/>
    </w:rPr>
  </w:style>
  <w:style w:type="character" w:styleId="940">
    <w:name w:val="ListLabel 106"/>
    <w:qFormat/>
    <w:rPr>
      <w:sz w:val="28"/>
      <w:szCs w:val="28"/>
    </w:rPr>
  </w:style>
  <w:style w:type="character" w:styleId="941">
    <w:name w:val="ListLabel 107"/>
    <w:qFormat/>
    <w:rPr>
      <w:highlight w:val="yellow"/>
    </w:rPr>
  </w:style>
  <w:style w:type="character" w:styleId="942">
    <w:name w:val="ListLabel 108"/>
    <w:qFormat/>
    <w:rPr>
      <w:highlight w:val="yellow"/>
      <w:lang w:val="en-US"/>
    </w:rPr>
  </w:style>
  <w:style w:type="character" w:styleId="943">
    <w:name w:val="ListLabel 109"/>
    <w:qFormat/>
  </w:style>
  <w:style w:type="character" w:styleId="944">
    <w:name w:val="ListLabel 110"/>
    <w:qFormat/>
  </w:style>
  <w:style w:type="character" w:styleId="945">
    <w:name w:val="ListLabel 111"/>
    <w:qFormat/>
    <w:rPr>
      <w:highlight w:val="yellow"/>
    </w:rPr>
  </w:style>
  <w:style w:type="character" w:styleId="946">
    <w:name w:val="ListLabel 112"/>
    <w:qFormat/>
  </w:style>
  <w:style w:type="character" w:styleId="947">
    <w:name w:val="ListLabel 113"/>
    <w:qFormat/>
    <w:rPr>
      <w:lang w:val="en-US"/>
    </w:rPr>
  </w:style>
  <w:style w:type="character" w:styleId="948">
    <w:name w:val="ListLabel 114"/>
    <w:qFormat/>
    <w:rPr>
      <w:sz w:val="28"/>
      <w:szCs w:val="28"/>
    </w:rPr>
  </w:style>
  <w:style w:type="character" w:styleId="949">
    <w:name w:val="ListLabel 115"/>
    <w:qFormat/>
    <w:rPr>
      <w:highlight w:val="yellow"/>
    </w:rPr>
  </w:style>
  <w:style w:type="character" w:styleId="950">
    <w:name w:val="ListLabel 116"/>
    <w:qFormat/>
    <w:rPr>
      <w:highlight w:val="yellow"/>
      <w:lang w:val="en-US"/>
    </w:rPr>
  </w:style>
  <w:style w:type="character" w:styleId="951">
    <w:name w:val="ListLabel 117"/>
    <w:qFormat/>
  </w:style>
  <w:style w:type="character" w:styleId="952">
    <w:name w:val="ListLabel 118"/>
    <w:qFormat/>
  </w:style>
  <w:style w:type="character" w:styleId="953">
    <w:name w:val="ListLabel 119"/>
    <w:qFormat/>
    <w:rPr>
      <w:highlight w:val="yellow"/>
    </w:rPr>
  </w:style>
  <w:style w:type="character" w:styleId="954">
    <w:name w:val="ListLabel 120"/>
    <w:qFormat/>
    <w:rPr>
      <w:color w:val="000000"/>
      <w:u w:val="none"/>
    </w:rPr>
  </w:style>
  <w:style w:type="character" w:styleId="955">
    <w:name w:val="ListLabel 121"/>
    <w:qFormat/>
    <w:rPr>
      <w:color w:val="000000"/>
      <w:u w:val="none"/>
      <w:lang w:val="en-US"/>
    </w:rPr>
  </w:style>
  <w:style w:type="character" w:styleId="956">
    <w:name w:val="ListLabel 122"/>
    <w:qFormat/>
    <w:rPr>
      <w:sz w:val="28"/>
      <w:szCs w:val="28"/>
    </w:rPr>
  </w:style>
  <w:style w:type="character" w:styleId="957">
    <w:name w:val="ListLabel 123"/>
    <w:qFormat/>
    <w:rPr>
      <w:color w:val="000000"/>
      <w:highlight w:val="yellow"/>
      <w:u w:val="none"/>
    </w:rPr>
  </w:style>
  <w:style w:type="character" w:styleId="958">
    <w:name w:val="ListLabel 124"/>
    <w:qFormat/>
    <w:rPr>
      <w:color w:val="000000"/>
      <w:highlight w:val="yellow"/>
      <w:u w:val="none"/>
      <w:lang w:val="en-US"/>
    </w:rPr>
  </w:style>
  <w:style w:type="character" w:styleId="959">
    <w:name w:val="ListLabel 125"/>
    <w:qFormat/>
  </w:style>
  <w:style w:type="character" w:styleId="960">
    <w:name w:val="ListLabel 126"/>
    <w:qFormat/>
  </w:style>
  <w:style w:type="character" w:styleId="961">
    <w:name w:val="ListLabel 127"/>
    <w:qFormat/>
    <w:rPr>
      <w:rFonts w:ascii="Times New Roman" w:hAnsi="Times New Roman"/>
      <w:color w:val="000000"/>
      <w:sz w:val="28"/>
      <w:szCs w:val="28"/>
      <w:u w:val="none"/>
    </w:rPr>
  </w:style>
  <w:style w:type="character" w:styleId="962">
    <w:name w:val="ListLabel 128"/>
    <w:qFormat/>
    <w:rPr>
      <w:rFonts w:ascii="Times New Roman" w:hAnsi="Times New Roman"/>
      <w:color w:val="000000"/>
      <w:sz w:val="28"/>
      <w:szCs w:val="28"/>
      <w:u w:val="none"/>
      <w:lang w:val="en-US"/>
    </w:rPr>
  </w:style>
  <w:style w:type="character" w:styleId="963">
    <w:name w:val="ListLabel 129"/>
    <w:qFormat/>
    <w:rPr>
      <w:color w:val="000000"/>
      <w:u w:val="none"/>
    </w:rPr>
  </w:style>
  <w:style w:type="character" w:styleId="964">
    <w:name w:val="ListLabel 130"/>
    <w:qFormat/>
    <w:rPr>
      <w:color w:val="000000"/>
      <w:u w:val="none"/>
      <w:lang w:val="en-US"/>
    </w:rPr>
  </w:style>
  <w:style w:type="character" w:styleId="965">
    <w:name w:val="ListLabel 131"/>
    <w:qFormat/>
    <w:rPr>
      <w:sz w:val="28"/>
      <w:szCs w:val="28"/>
    </w:rPr>
  </w:style>
  <w:style w:type="character" w:styleId="966">
    <w:name w:val="ListLabel 132"/>
    <w:qFormat/>
    <w:rPr>
      <w:color w:val="000000"/>
      <w:highlight w:val="yellow"/>
      <w:u w:val="none"/>
    </w:rPr>
  </w:style>
  <w:style w:type="character" w:styleId="967">
    <w:name w:val="ListLabel 133"/>
    <w:qFormat/>
    <w:rPr>
      <w:color w:val="000000"/>
      <w:highlight w:val="yellow"/>
      <w:u w:val="none"/>
      <w:lang w:val="en-US"/>
    </w:rPr>
  </w:style>
  <w:style w:type="character" w:styleId="968">
    <w:name w:val="ListLabel 134"/>
    <w:qFormat/>
  </w:style>
  <w:style w:type="character" w:styleId="969">
    <w:name w:val="ListLabel 135"/>
    <w:qFormat/>
  </w:style>
  <w:style w:type="character" w:styleId="970">
    <w:name w:val="ListLabel 136"/>
    <w:qFormat/>
    <w:rPr>
      <w:color w:val="000000"/>
      <w:sz w:val="28"/>
      <w:szCs w:val="28"/>
      <w:u w:val="none"/>
    </w:rPr>
  </w:style>
  <w:style w:type="character" w:styleId="971">
    <w:name w:val="ListLabel 137"/>
    <w:qFormat/>
    <w:rPr>
      <w:color w:val="000000"/>
      <w:sz w:val="28"/>
      <w:szCs w:val="28"/>
      <w:u w:val="none"/>
      <w:lang w:val="en-US"/>
    </w:rPr>
  </w:style>
  <w:style w:type="character" w:styleId="972">
    <w:name w:val="ListLabel 138"/>
    <w:qFormat/>
    <w:rPr>
      <w:color w:val="000000"/>
      <w:u w:val="none"/>
    </w:rPr>
  </w:style>
  <w:style w:type="character" w:styleId="973">
    <w:name w:val="ListLabel 139"/>
    <w:qFormat/>
    <w:rPr>
      <w:color w:val="000000"/>
      <w:u w:val="none"/>
      <w:lang w:val="en-US"/>
    </w:rPr>
  </w:style>
  <w:style w:type="character" w:styleId="974">
    <w:name w:val="ListLabel 140"/>
    <w:qFormat/>
    <w:rPr>
      <w:sz w:val="28"/>
      <w:szCs w:val="28"/>
    </w:rPr>
  </w:style>
  <w:style w:type="character" w:styleId="975">
    <w:name w:val="ListLabel 141"/>
    <w:qFormat/>
  </w:style>
  <w:style w:type="character" w:styleId="976">
    <w:name w:val="ListLabel 142"/>
    <w:qFormat/>
  </w:style>
  <w:style w:type="character" w:styleId="977">
    <w:name w:val="ListLabel 143"/>
    <w:qFormat/>
    <w:rPr>
      <w:color w:val="000000"/>
      <w:sz w:val="28"/>
      <w:szCs w:val="28"/>
      <w:u w:val="none"/>
    </w:rPr>
  </w:style>
  <w:style w:type="character" w:styleId="978">
    <w:name w:val="ListLabel 144"/>
    <w:qFormat/>
    <w:rPr>
      <w:color w:val="000000"/>
      <w:sz w:val="28"/>
      <w:szCs w:val="28"/>
      <w:u w:val="none"/>
      <w:lang w:val="en-US"/>
    </w:rPr>
  </w:style>
  <w:style w:type="character" w:styleId="979">
    <w:name w:val="ListLabel 145"/>
    <w:qFormat/>
    <w:rPr>
      <w:color w:val="000000"/>
      <w:u w:val="none"/>
    </w:rPr>
  </w:style>
  <w:style w:type="character" w:styleId="980">
    <w:name w:val="ListLabel 146"/>
    <w:qFormat/>
    <w:rPr>
      <w:color w:val="000000"/>
      <w:u w:val="none"/>
      <w:lang w:val="en-US"/>
    </w:rPr>
  </w:style>
  <w:style w:type="character" w:styleId="981">
    <w:name w:val="ListLabel 147"/>
    <w:qFormat/>
    <w:rPr>
      <w:sz w:val="28"/>
      <w:szCs w:val="28"/>
    </w:rPr>
  </w:style>
  <w:style w:type="character" w:styleId="982">
    <w:name w:val="ListLabel 148"/>
    <w:qFormat/>
  </w:style>
  <w:style w:type="character" w:styleId="983">
    <w:name w:val="ListLabel 149"/>
    <w:qFormat/>
  </w:style>
  <w:style w:type="character" w:styleId="984">
    <w:name w:val="ListLabel 150"/>
    <w:qFormat/>
    <w:rPr>
      <w:color w:val="000000"/>
      <w:sz w:val="28"/>
      <w:szCs w:val="28"/>
      <w:u w:val="none"/>
    </w:rPr>
  </w:style>
  <w:style w:type="character" w:styleId="985">
    <w:name w:val="ListLabel 151"/>
    <w:qFormat/>
    <w:rPr>
      <w:color w:val="000000"/>
      <w:sz w:val="28"/>
      <w:szCs w:val="28"/>
      <w:u w:val="none"/>
      <w:lang w:val="en-US"/>
    </w:rPr>
  </w:style>
  <w:style w:type="character" w:styleId="986">
    <w:name w:val="ListLabel 152"/>
    <w:qFormat/>
    <w:rPr>
      <w:color w:val="000000"/>
      <w:u w:val="none"/>
    </w:rPr>
  </w:style>
  <w:style w:type="character" w:styleId="987">
    <w:name w:val="ListLabel 153"/>
    <w:qFormat/>
    <w:rPr>
      <w:color w:val="000000"/>
      <w:u w:val="none"/>
      <w:lang w:val="en-US"/>
    </w:rPr>
  </w:style>
  <w:style w:type="character" w:styleId="988">
    <w:name w:val="ListLabel 154"/>
    <w:qFormat/>
    <w:rPr>
      <w:sz w:val="28"/>
      <w:szCs w:val="28"/>
    </w:rPr>
  </w:style>
  <w:style w:type="character" w:styleId="989">
    <w:name w:val="ListLabel 155"/>
    <w:qFormat/>
  </w:style>
  <w:style w:type="character" w:styleId="990">
    <w:name w:val="ListLabel 156"/>
    <w:qFormat/>
  </w:style>
  <w:style w:type="character" w:styleId="991">
    <w:name w:val="ListLabel 157"/>
    <w:qFormat/>
    <w:rPr>
      <w:color w:val="000000"/>
      <w:sz w:val="28"/>
      <w:szCs w:val="28"/>
      <w:u w:val="none"/>
    </w:rPr>
  </w:style>
  <w:style w:type="character" w:styleId="992">
    <w:name w:val="ListLabel 158"/>
    <w:qFormat/>
    <w:rPr>
      <w:color w:val="000000"/>
      <w:sz w:val="28"/>
      <w:szCs w:val="28"/>
      <w:u w:val="none"/>
      <w:lang w:val="en-US"/>
    </w:rPr>
  </w:style>
  <w:style w:type="character" w:styleId="993">
    <w:name w:val="ListLabel 159"/>
    <w:qFormat/>
    <w:rPr>
      <w:color w:val="000000"/>
      <w:u w:val="none"/>
    </w:rPr>
  </w:style>
  <w:style w:type="character" w:styleId="994">
    <w:name w:val="ListLabel 160"/>
    <w:qFormat/>
    <w:rPr>
      <w:color w:val="000000"/>
      <w:u w:val="none"/>
      <w:lang w:val="en-US"/>
    </w:rPr>
  </w:style>
  <w:style w:type="character" w:styleId="995">
    <w:name w:val="ListLabel 161"/>
    <w:qFormat/>
    <w:rPr>
      <w:sz w:val="28"/>
      <w:szCs w:val="28"/>
    </w:rPr>
  </w:style>
  <w:style w:type="character" w:styleId="996">
    <w:name w:val="ListLabel 162"/>
    <w:qFormat/>
  </w:style>
  <w:style w:type="character" w:styleId="997">
    <w:name w:val="ListLabel 163"/>
    <w:qFormat/>
  </w:style>
  <w:style w:type="character" w:styleId="998">
    <w:name w:val="ListLabel 164"/>
    <w:qFormat/>
    <w:rPr>
      <w:color w:val="000000"/>
      <w:sz w:val="28"/>
      <w:szCs w:val="28"/>
      <w:u w:val="none"/>
    </w:rPr>
  </w:style>
  <w:style w:type="character" w:styleId="999">
    <w:name w:val="ListLabel 165"/>
    <w:qFormat/>
    <w:rPr>
      <w:color w:val="000000"/>
      <w:sz w:val="28"/>
      <w:szCs w:val="28"/>
      <w:u w:val="none"/>
      <w:lang w:val="en-US"/>
    </w:rPr>
  </w:style>
  <w:style w:type="character" w:styleId="1000">
    <w:name w:val="ListLabel 166"/>
    <w:qFormat/>
    <w:rPr>
      <w:color w:val="000000"/>
      <w:u w:val="none"/>
    </w:rPr>
  </w:style>
  <w:style w:type="character" w:styleId="1001">
    <w:name w:val="ListLabel 167"/>
    <w:qFormat/>
    <w:rPr>
      <w:color w:val="000000"/>
      <w:u w:val="none"/>
      <w:lang w:val="en-US"/>
    </w:rPr>
  </w:style>
  <w:style w:type="character" w:styleId="1002">
    <w:name w:val="ListLabel 168"/>
    <w:qFormat/>
    <w:rPr>
      <w:sz w:val="28"/>
      <w:szCs w:val="28"/>
    </w:rPr>
  </w:style>
  <w:style w:type="character" w:styleId="1003">
    <w:name w:val="ListLabel 169"/>
    <w:qFormat/>
  </w:style>
  <w:style w:type="character" w:styleId="1004">
    <w:name w:val="ListLabel 170"/>
    <w:qFormat/>
  </w:style>
  <w:style w:type="character" w:styleId="1005">
    <w:name w:val="ListLabel 171"/>
    <w:qFormat/>
    <w:rPr>
      <w:color w:val="000000"/>
      <w:sz w:val="28"/>
      <w:szCs w:val="28"/>
      <w:u w:val="none"/>
    </w:rPr>
  </w:style>
  <w:style w:type="character" w:styleId="1006">
    <w:name w:val="ListLabel 172"/>
    <w:qFormat/>
    <w:rPr>
      <w:color w:val="000000"/>
      <w:sz w:val="28"/>
      <w:szCs w:val="28"/>
      <w:u w:val="none"/>
      <w:lang w:val="en-US"/>
    </w:rPr>
  </w:style>
  <w:style w:type="character" w:styleId="1007">
    <w:name w:val="ListLabel 173"/>
    <w:qFormat/>
    <w:rPr>
      <w:color w:val="000000"/>
      <w:u w:val="none"/>
    </w:rPr>
  </w:style>
  <w:style w:type="character" w:styleId="1008">
    <w:name w:val="ListLabel 174"/>
    <w:qFormat/>
    <w:rPr>
      <w:color w:val="000000"/>
      <w:u w:val="none"/>
      <w:lang w:val="en-US"/>
    </w:rPr>
  </w:style>
  <w:style w:type="character" w:styleId="1009">
    <w:name w:val="ListLabel 175"/>
    <w:qFormat/>
    <w:rPr>
      <w:sz w:val="28"/>
      <w:szCs w:val="28"/>
    </w:rPr>
  </w:style>
  <w:style w:type="character" w:styleId="1010">
    <w:name w:val="ListLabel 176"/>
    <w:qFormat/>
  </w:style>
  <w:style w:type="character" w:styleId="1011">
    <w:name w:val="ListLabel 177"/>
    <w:qFormat/>
  </w:style>
  <w:style w:type="character" w:styleId="1012">
    <w:name w:val="ListLabel 178"/>
    <w:qFormat/>
    <w:rPr>
      <w:color w:val="000000"/>
      <w:sz w:val="28"/>
      <w:szCs w:val="28"/>
      <w:u w:val="none"/>
    </w:rPr>
  </w:style>
  <w:style w:type="character" w:styleId="1013">
    <w:name w:val="ListLabel 179"/>
    <w:qFormat/>
    <w:rPr>
      <w:color w:val="000000"/>
      <w:sz w:val="28"/>
      <w:szCs w:val="28"/>
      <w:u w:val="none"/>
      <w:lang w:val="en-US"/>
    </w:rPr>
  </w:style>
  <w:style w:type="character" w:styleId="1014">
    <w:name w:val="ListLabel 180"/>
    <w:qFormat/>
    <w:rPr>
      <w:color w:val="000000"/>
      <w:u w:val="none"/>
    </w:rPr>
  </w:style>
  <w:style w:type="character" w:styleId="1015">
    <w:name w:val="ListLabel 181"/>
    <w:qFormat/>
    <w:rPr>
      <w:color w:val="000000"/>
      <w:u w:val="none"/>
      <w:lang w:val="en-US"/>
    </w:rPr>
  </w:style>
  <w:style w:type="character" w:styleId="1016">
    <w:name w:val="ListLabel 182"/>
    <w:qFormat/>
    <w:rPr>
      <w:sz w:val="28"/>
      <w:szCs w:val="28"/>
    </w:rPr>
  </w:style>
  <w:style w:type="character" w:styleId="1017">
    <w:name w:val="ListLabel 183"/>
    <w:qFormat/>
  </w:style>
  <w:style w:type="character" w:styleId="1018">
    <w:name w:val="ListLabel 184"/>
    <w:qFormat/>
  </w:style>
  <w:style w:type="character" w:styleId="1019">
    <w:name w:val="ListLabel 185"/>
    <w:qFormat/>
    <w:rPr>
      <w:color w:val="000000"/>
      <w:sz w:val="28"/>
      <w:szCs w:val="28"/>
      <w:u w:val="none"/>
    </w:rPr>
  </w:style>
  <w:style w:type="character" w:styleId="1020">
    <w:name w:val="ListLabel 186"/>
    <w:qFormat/>
    <w:rPr>
      <w:color w:val="000000"/>
      <w:sz w:val="28"/>
      <w:szCs w:val="28"/>
      <w:u w:val="none"/>
      <w:lang w:val="en-US"/>
    </w:rPr>
  </w:style>
  <w:style w:type="character" w:styleId="1021">
    <w:name w:val="ListLabel 187"/>
    <w:qFormat/>
    <w:rPr>
      <w:color w:val="000000"/>
      <w:u w:val="none"/>
    </w:rPr>
  </w:style>
  <w:style w:type="character" w:styleId="1022">
    <w:name w:val="ListLabel 188"/>
    <w:qFormat/>
    <w:rPr>
      <w:color w:val="000000"/>
      <w:u w:val="none"/>
      <w:lang w:val="en-US"/>
    </w:rPr>
  </w:style>
  <w:style w:type="character" w:styleId="1023">
    <w:name w:val="ListLabel 189"/>
    <w:qFormat/>
    <w:rPr>
      <w:sz w:val="28"/>
      <w:szCs w:val="28"/>
    </w:rPr>
  </w:style>
  <w:style w:type="character" w:styleId="1024">
    <w:name w:val="ListLabel 190"/>
    <w:qFormat/>
  </w:style>
  <w:style w:type="character" w:styleId="1025">
    <w:name w:val="ListLabel 191"/>
    <w:qFormat/>
  </w:style>
  <w:style w:type="character" w:styleId="1026">
    <w:name w:val="ListLabel 192"/>
    <w:qFormat/>
    <w:rPr>
      <w:color w:val="000000"/>
      <w:sz w:val="28"/>
      <w:szCs w:val="28"/>
      <w:u w:val="none"/>
    </w:rPr>
  </w:style>
  <w:style w:type="character" w:styleId="1027">
    <w:name w:val="ListLabel 193"/>
    <w:qFormat/>
    <w:rPr>
      <w:color w:val="000000"/>
      <w:sz w:val="28"/>
      <w:szCs w:val="28"/>
      <w:u w:val="none"/>
      <w:lang w:val="en-US"/>
    </w:rPr>
  </w:style>
  <w:style w:type="character" w:styleId="1028">
    <w:name w:val="ListLabel 194"/>
    <w:qFormat/>
    <w:rPr>
      <w:color w:val="000000"/>
      <w:u w:val="none"/>
    </w:rPr>
  </w:style>
  <w:style w:type="character" w:styleId="1029">
    <w:name w:val="ListLabel 195"/>
    <w:qFormat/>
    <w:rPr>
      <w:color w:val="000000"/>
      <w:u w:val="none"/>
      <w:lang w:val="en-US"/>
    </w:rPr>
  </w:style>
  <w:style w:type="character" w:styleId="1030">
    <w:name w:val="ListLabel 196"/>
    <w:qFormat/>
    <w:rPr>
      <w:sz w:val="28"/>
      <w:szCs w:val="28"/>
    </w:rPr>
  </w:style>
  <w:style w:type="character" w:styleId="1031">
    <w:name w:val="ListLabel 197"/>
    <w:qFormat/>
  </w:style>
  <w:style w:type="character" w:styleId="1032">
    <w:name w:val="ListLabel 198"/>
    <w:qFormat/>
  </w:style>
  <w:style w:type="character" w:styleId="1033">
    <w:name w:val="ListLabel 199"/>
    <w:qFormat/>
    <w:rPr>
      <w:color w:val="000000"/>
      <w:sz w:val="28"/>
      <w:szCs w:val="28"/>
      <w:u w:val="none"/>
    </w:rPr>
  </w:style>
  <w:style w:type="character" w:styleId="1034">
    <w:name w:val="ListLabel 200"/>
    <w:qFormat/>
    <w:rPr>
      <w:color w:val="000000"/>
      <w:sz w:val="28"/>
      <w:szCs w:val="28"/>
      <w:u w:val="none"/>
      <w:lang w:val="en-US"/>
    </w:rPr>
  </w:style>
  <w:style w:type="character" w:styleId="1035">
    <w:name w:val="ListLabel 201"/>
    <w:qFormat/>
    <w:rPr>
      <w:color w:val="000000"/>
      <w:u w:val="none"/>
    </w:rPr>
  </w:style>
  <w:style w:type="character" w:styleId="1036">
    <w:name w:val="ListLabel 202"/>
    <w:qFormat/>
    <w:rPr>
      <w:color w:val="000000"/>
      <w:u w:val="none"/>
      <w:lang w:val="en-US"/>
    </w:rPr>
  </w:style>
  <w:style w:type="character" w:styleId="1037">
    <w:name w:val="ListLabel 203"/>
    <w:qFormat/>
    <w:rPr>
      <w:sz w:val="28"/>
      <w:szCs w:val="28"/>
    </w:rPr>
  </w:style>
  <w:style w:type="character" w:styleId="1038">
    <w:name w:val="ListLabel 204"/>
    <w:qFormat/>
  </w:style>
  <w:style w:type="character" w:styleId="1039">
    <w:name w:val="ListLabel 205"/>
    <w:qFormat/>
  </w:style>
  <w:style w:type="character" w:styleId="1040">
    <w:name w:val="ListLabel 206"/>
    <w:qFormat/>
    <w:rPr>
      <w:color w:val="000000"/>
      <w:sz w:val="28"/>
      <w:szCs w:val="28"/>
      <w:u w:val="none"/>
    </w:rPr>
  </w:style>
  <w:style w:type="character" w:styleId="1041">
    <w:name w:val="ListLabel 207"/>
    <w:qFormat/>
    <w:rPr>
      <w:color w:val="000000"/>
      <w:sz w:val="28"/>
      <w:szCs w:val="28"/>
      <w:u w:val="none"/>
      <w:lang w:val="en-US"/>
    </w:rPr>
  </w:style>
  <w:style w:type="character" w:styleId="1042">
    <w:name w:val="ListLabel 208"/>
    <w:qFormat/>
    <w:rPr>
      <w:color w:val="000000"/>
      <w:u w:val="none"/>
    </w:rPr>
  </w:style>
  <w:style w:type="character" w:styleId="1043">
    <w:name w:val="ListLabel 209"/>
    <w:qFormat/>
    <w:rPr>
      <w:color w:val="000000"/>
      <w:u w:val="none"/>
      <w:lang w:val="en-US"/>
    </w:rPr>
  </w:style>
  <w:style w:type="character" w:styleId="1044">
    <w:name w:val="ListLabel 210"/>
    <w:qFormat/>
    <w:rPr>
      <w:sz w:val="28"/>
      <w:szCs w:val="28"/>
    </w:rPr>
  </w:style>
  <w:style w:type="character" w:styleId="1045">
    <w:name w:val="ListLabel 211"/>
    <w:qFormat/>
  </w:style>
  <w:style w:type="character" w:styleId="1046">
    <w:name w:val="ListLabel 212"/>
    <w:qFormat/>
  </w:style>
  <w:style w:type="character" w:styleId="1047">
    <w:name w:val="ListLabel 213"/>
    <w:qFormat/>
    <w:rPr>
      <w:color w:val="000000"/>
      <w:sz w:val="28"/>
      <w:szCs w:val="28"/>
      <w:u w:val="none"/>
    </w:rPr>
  </w:style>
  <w:style w:type="character" w:styleId="1048">
    <w:name w:val="ListLabel 214"/>
    <w:qFormat/>
    <w:rPr>
      <w:color w:val="000000"/>
      <w:sz w:val="28"/>
      <w:szCs w:val="28"/>
      <w:u w:val="none"/>
      <w:lang w:val="en-US"/>
    </w:rPr>
  </w:style>
  <w:style w:type="character" w:styleId="1049">
    <w:name w:val="ListLabel 215"/>
    <w:qFormat/>
    <w:rPr>
      <w:color w:val="000000"/>
      <w:u w:val="none"/>
    </w:rPr>
  </w:style>
  <w:style w:type="character" w:styleId="1050">
    <w:name w:val="ListLabel 216"/>
    <w:qFormat/>
    <w:rPr>
      <w:color w:val="000000"/>
      <w:u w:val="none"/>
      <w:lang w:val="en-US"/>
    </w:rPr>
  </w:style>
  <w:style w:type="character" w:styleId="1051">
    <w:name w:val="ListLabel 217"/>
    <w:qFormat/>
    <w:rPr>
      <w:sz w:val="28"/>
      <w:szCs w:val="28"/>
    </w:rPr>
  </w:style>
  <w:style w:type="character" w:styleId="1052">
    <w:name w:val="ListLabel 218"/>
    <w:qFormat/>
  </w:style>
  <w:style w:type="character" w:styleId="1053">
    <w:name w:val="ListLabel 219"/>
    <w:qFormat/>
  </w:style>
  <w:style w:type="character" w:styleId="1054">
    <w:name w:val="ListLabel 220"/>
    <w:qFormat/>
    <w:rPr>
      <w:color w:val="000000"/>
      <w:sz w:val="28"/>
      <w:szCs w:val="28"/>
      <w:u w:val="none"/>
    </w:rPr>
  </w:style>
  <w:style w:type="character" w:styleId="1055">
    <w:name w:val="ListLabel 221"/>
    <w:qFormat/>
    <w:rPr>
      <w:color w:val="000000"/>
      <w:sz w:val="28"/>
      <w:szCs w:val="28"/>
      <w:u w:val="none"/>
      <w:lang w:val="en-US"/>
    </w:rPr>
  </w:style>
  <w:style w:type="character" w:styleId="1056">
    <w:name w:val="ListLabel 222"/>
    <w:qFormat/>
    <w:rPr>
      <w:color w:val="000000"/>
      <w:u w:val="none"/>
    </w:rPr>
  </w:style>
  <w:style w:type="character" w:styleId="1057">
    <w:name w:val="ListLabel 223"/>
    <w:qFormat/>
    <w:rPr>
      <w:color w:val="000000"/>
      <w:u w:val="none"/>
      <w:lang w:val="en-US"/>
    </w:rPr>
  </w:style>
  <w:style w:type="character" w:styleId="1058">
    <w:name w:val="ListLabel 224"/>
    <w:qFormat/>
    <w:rPr>
      <w:sz w:val="28"/>
      <w:szCs w:val="28"/>
    </w:rPr>
  </w:style>
  <w:style w:type="character" w:styleId="1059">
    <w:name w:val="ListLabel 225"/>
    <w:qFormat/>
  </w:style>
  <w:style w:type="character" w:styleId="1060">
    <w:name w:val="ListLabel 226"/>
    <w:qFormat/>
  </w:style>
  <w:style w:type="character" w:styleId="1061">
    <w:name w:val="ListLabel 227"/>
    <w:qFormat/>
    <w:rPr>
      <w:color w:val="000000"/>
      <w:sz w:val="28"/>
      <w:szCs w:val="28"/>
      <w:u w:val="none"/>
    </w:rPr>
  </w:style>
  <w:style w:type="character" w:styleId="1062">
    <w:name w:val="ListLabel 228"/>
    <w:qFormat/>
    <w:rPr>
      <w:color w:val="000000"/>
      <w:sz w:val="28"/>
      <w:szCs w:val="28"/>
      <w:u w:val="none"/>
      <w:lang w:val="en-US"/>
    </w:rPr>
  </w:style>
  <w:style w:type="character" w:styleId="1063">
    <w:name w:val="ListLabel 229"/>
    <w:qFormat/>
    <w:rPr>
      <w:color w:val="000000"/>
      <w:u w:val="none"/>
    </w:rPr>
  </w:style>
  <w:style w:type="character" w:styleId="1064">
    <w:name w:val="ListLabel 230"/>
    <w:qFormat/>
    <w:rPr>
      <w:color w:val="000000"/>
      <w:u w:val="none"/>
      <w:lang w:val="en-US"/>
    </w:rPr>
  </w:style>
  <w:style w:type="character" w:styleId="1065">
    <w:name w:val="ListLabel 231"/>
    <w:qFormat/>
    <w:rPr>
      <w:sz w:val="28"/>
      <w:szCs w:val="28"/>
    </w:rPr>
  </w:style>
  <w:style w:type="character" w:styleId="1066">
    <w:name w:val="ListLabel 232"/>
    <w:qFormat/>
  </w:style>
  <w:style w:type="character" w:styleId="1067">
    <w:name w:val="ListLabel 233"/>
    <w:qFormat/>
  </w:style>
  <w:style w:type="character" w:styleId="1068">
    <w:name w:val="ListLabel 234"/>
    <w:qFormat/>
    <w:rPr>
      <w:color w:val="000000"/>
      <w:sz w:val="28"/>
      <w:szCs w:val="28"/>
      <w:u w:val="none"/>
    </w:rPr>
  </w:style>
  <w:style w:type="character" w:styleId="1069">
    <w:name w:val="ListLabel 235"/>
    <w:qFormat/>
    <w:rPr>
      <w:color w:val="000000"/>
      <w:sz w:val="28"/>
      <w:szCs w:val="28"/>
      <w:u w:val="none"/>
      <w:lang w:val="en-US"/>
    </w:rPr>
  </w:style>
  <w:style w:type="character" w:styleId="1070">
    <w:name w:val="ListLabel 236"/>
    <w:qFormat/>
    <w:rPr>
      <w:color w:val="000000"/>
      <w:u w:val="none"/>
    </w:rPr>
  </w:style>
  <w:style w:type="character" w:styleId="1071">
    <w:name w:val="ListLabel 237"/>
    <w:qFormat/>
    <w:rPr>
      <w:color w:val="000000"/>
      <w:u w:val="none"/>
      <w:lang w:val="en-US"/>
    </w:rPr>
  </w:style>
  <w:style w:type="character" w:styleId="1072">
    <w:name w:val="ListLabel 238"/>
    <w:qFormat/>
    <w:rPr>
      <w:sz w:val="28"/>
      <w:szCs w:val="28"/>
    </w:rPr>
  </w:style>
  <w:style w:type="character" w:styleId="1073">
    <w:name w:val="ListLabel 239"/>
    <w:qFormat/>
  </w:style>
  <w:style w:type="character" w:styleId="1074">
    <w:name w:val="ListLabel 240"/>
    <w:qFormat/>
  </w:style>
  <w:style w:type="character" w:styleId="1075">
    <w:name w:val="ListLabel 241"/>
    <w:qFormat/>
    <w:rPr>
      <w:color w:val="000000"/>
      <w:sz w:val="28"/>
      <w:szCs w:val="28"/>
      <w:u w:val="none"/>
    </w:rPr>
  </w:style>
  <w:style w:type="character" w:styleId="1076">
    <w:name w:val="ListLabel 242"/>
    <w:qFormat/>
    <w:rPr>
      <w:color w:val="000000"/>
      <w:sz w:val="28"/>
      <w:szCs w:val="28"/>
      <w:u w:val="none"/>
      <w:lang w:val="en-US"/>
    </w:rPr>
  </w:style>
  <w:style w:type="character" w:styleId="1077">
    <w:name w:val="ListLabel 243"/>
    <w:qFormat/>
    <w:rPr>
      <w:color w:val="000000"/>
      <w:u w:val="none"/>
    </w:rPr>
  </w:style>
  <w:style w:type="character" w:styleId="1078">
    <w:name w:val="ListLabel 244"/>
    <w:qFormat/>
    <w:rPr>
      <w:color w:val="000000"/>
      <w:u w:val="none"/>
      <w:lang w:val="en-US"/>
    </w:rPr>
  </w:style>
  <w:style w:type="character" w:styleId="1079">
    <w:name w:val="ListLabel 245"/>
    <w:qFormat/>
    <w:rPr>
      <w:sz w:val="28"/>
      <w:szCs w:val="28"/>
    </w:rPr>
  </w:style>
  <w:style w:type="character" w:styleId="1080">
    <w:name w:val="ListLabel 246"/>
    <w:qFormat/>
  </w:style>
  <w:style w:type="character" w:styleId="1081">
    <w:name w:val="ListLabel 247"/>
    <w:qFormat/>
  </w:style>
  <w:style w:type="character" w:styleId="1082">
    <w:name w:val="ListLabel 248"/>
    <w:qFormat/>
    <w:rPr>
      <w:color w:val="000000"/>
      <w:sz w:val="28"/>
      <w:szCs w:val="28"/>
      <w:u w:val="none"/>
    </w:rPr>
  </w:style>
  <w:style w:type="character" w:styleId="1083">
    <w:name w:val="ListLabel 249"/>
    <w:qFormat/>
    <w:rPr>
      <w:color w:val="000000"/>
      <w:sz w:val="28"/>
      <w:szCs w:val="28"/>
      <w:u w:val="none"/>
      <w:lang w:val="en-US"/>
    </w:rPr>
  </w:style>
  <w:style w:type="character" w:styleId="1084">
    <w:name w:val="ListLabel 250"/>
    <w:qFormat/>
    <w:rPr>
      <w:color w:val="000000"/>
      <w:u w:val="none"/>
    </w:rPr>
  </w:style>
  <w:style w:type="character" w:styleId="1085">
    <w:name w:val="ListLabel 251"/>
    <w:qFormat/>
    <w:rPr>
      <w:color w:val="000000"/>
      <w:u w:val="none"/>
      <w:lang w:val="en-US"/>
    </w:rPr>
  </w:style>
  <w:style w:type="character" w:styleId="1086">
    <w:name w:val="ListLabel 252"/>
    <w:qFormat/>
    <w:rPr>
      <w:sz w:val="28"/>
      <w:szCs w:val="28"/>
    </w:rPr>
  </w:style>
  <w:style w:type="character" w:styleId="1087">
    <w:name w:val="ListLabel 253"/>
    <w:qFormat/>
  </w:style>
  <w:style w:type="character" w:styleId="1088">
    <w:name w:val="ListLabel 254"/>
    <w:qFormat/>
  </w:style>
  <w:style w:type="character" w:styleId="1089">
    <w:name w:val="ListLabel 255"/>
    <w:qFormat/>
    <w:rPr>
      <w:color w:val="000000"/>
      <w:sz w:val="28"/>
      <w:szCs w:val="28"/>
      <w:u w:val="none"/>
    </w:rPr>
  </w:style>
  <w:style w:type="character" w:styleId="1090">
    <w:name w:val="ListLabel 256"/>
    <w:qFormat/>
    <w:rPr>
      <w:color w:val="000000"/>
      <w:sz w:val="28"/>
      <w:szCs w:val="28"/>
      <w:u w:val="none"/>
      <w:lang w:val="en-US"/>
    </w:rPr>
  </w:style>
  <w:style w:type="character" w:styleId="1091">
    <w:name w:val="ListLabel 257"/>
    <w:qFormat/>
    <w:rPr>
      <w:color w:val="000000"/>
      <w:u w:val="none"/>
    </w:rPr>
  </w:style>
  <w:style w:type="character" w:styleId="1092">
    <w:name w:val="ListLabel 258"/>
    <w:qFormat/>
    <w:rPr>
      <w:color w:val="000000"/>
      <w:u w:val="none"/>
      <w:lang w:val="en-US"/>
    </w:rPr>
  </w:style>
  <w:style w:type="character" w:styleId="1093">
    <w:name w:val="ListLabel 259"/>
    <w:qFormat/>
    <w:rPr>
      <w:sz w:val="28"/>
      <w:szCs w:val="28"/>
    </w:rPr>
  </w:style>
  <w:style w:type="character" w:styleId="1094">
    <w:name w:val="ListLabel 260"/>
    <w:qFormat/>
  </w:style>
  <w:style w:type="character" w:styleId="1095">
    <w:name w:val="ListLabel 261"/>
    <w:qFormat/>
  </w:style>
  <w:style w:type="character" w:styleId="1096">
    <w:name w:val="ListLabel 262"/>
    <w:qFormat/>
    <w:rPr>
      <w:color w:val="000000"/>
      <w:sz w:val="28"/>
      <w:szCs w:val="28"/>
      <w:u w:val="none"/>
    </w:rPr>
  </w:style>
  <w:style w:type="character" w:styleId="1097">
    <w:name w:val="ListLabel 263"/>
    <w:qFormat/>
    <w:rPr>
      <w:color w:val="000000"/>
      <w:sz w:val="28"/>
      <w:szCs w:val="28"/>
      <w:u w:val="none"/>
      <w:lang w:val="en-US"/>
    </w:rPr>
  </w:style>
  <w:style w:type="character" w:styleId="1098">
    <w:name w:val="ListLabel 264"/>
    <w:qFormat/>
    <w:rPr>
      <w:color w:val="000000"/>
      <w:u w:val="none"/>
    </w:rPr>
  </w:style>
  <w:style w:type="character" w:styleId="1099">
    <w:name w:val="ListLabel 265"/>
    <w:qFormat/>
    <w:rPr>
      <w:color w:val="000000"/>
      <w:u w:val="none"/>
      <w:lang w:val="en-US"/>
    </w:rPr>
  </w:style>
  <w:style w:type="character" w:styleId="1100">
    <w:name w:val="ListLabel 266"/>
    <w:qFormat/>
    <w:rPr>
      <w:sz w:val="28"/>
      <w:szCs w:val="28"/>
    </w:rPr>
  </w:style>
  <w:style w:type="character" w:styleId="1101">
    <w:name w:val="ListLabel 267"/>
    <w:qFormat/>
  </w:style>
  <w:style w:type="character" w:styleId="1102">
    <w:name w:val="ListLabel 268"/>
    <w:qFormat/>
  </w:style>
  <w:style w:type="character" w:styleId="1103">
    <w:name w:val="ListLabel 269"/>
    <w:qFormat/>
    <w:rPr>
      <w:color w:val="000000"/>
      <w:sz w:val="28"/>
      <w:szCs w:val="28"/>
      <w:u w:val="none"/>
    </w:rPr>
  </w:style>
  <w:style w:type="character" w:styleId="1104">
    <w:name w:val="ListLabel 270"/>
    <w:qFormat/>
    <w:rPr>
      <w:color w:val="000000"/>
      <w:sz w:val="28"/>
      <w:szCs w:val="28"/>
      <w:u w:val="none"/>
      <w:lang w:val="en-US"/>
    </w:rPr>
  </w:style>
  <w:style w:type="character" w:styleId="1105">
    <w:name w:val="ListLabel 271"/>
    <w:qFormat/>
    <w:rPr>
      <w:color w:val="000000"/>
      <w:u w:val="none"/>
    </w:rPr>
  </w:style>
  <w:style w:type="character" w:styleId="1106">
    <w:name w:val="ListLabel 272"/>
    <w:qFormat/>
    <w:rPr>
      <w:color w:val="000000"/>
      <w:u w:val="none"/>
      <w:lang w:val="en-US"/>
    </w:rPr>
  </w:style>
  <w:style w:type="character" w:styleId="1107">
    <w:name w:val="ListLabel 273"/>
    <w:qFormat/>
    <w:rPr>
      <w:sz w:val="28"/>
      <w:szCs w:val="28"/>
    </w:rPr>
  </w:style>
  <w:style w:type="character" w:styleId="1108">
    <w:name w:val="ListLabel 274"/>
    <w:qFormat/>
  </w:style>
  <w:style w:type="character" w:styleId="1109">
    <w:name w:val="ListLabel 275"/>
    <w:qFormat/>
  </w:style>
  <w:style w:type="character" w:styleId="1110">
    <w:name w:val="ListLabel 276"/>
    <w:qFormat/>
    <w:rPr>
      <w:color w:val="000000"/>
      <w:sz w:val="28"/>
      <w:szCs w:val="28"/>
      <w:u w:val="none"/>
    </w:rPr>
  </w:style>
  <w:style w:type="character" w:styleId="1111">
    <w:name w:val="ListLabel 277"/>
    <w:qFormat/>
    <w:rPr>
      <w:color w:val="000000"/>
      <w:sz w:val="28"/>
      <w:szCs w:val="28"/>
      <w:u w:val="none"/>
      <w:lang w:val="en-US"/>
    </w:rPr>
  </w:style>
  <w:style w:type="character" w:styleId="1112">
    <w:name w:val="ListLabel 278"/>
    <w:qFormat/>
    <w:rPr>
      <w:color w:val="000000"/>
      <w:u w:val="none"/>
    </w:rPr>
  </w:style>
  <w:style w:type="character" w:styleId="1113">
    <w:name w:val="ListLabel 279"/>
    <w:qFormat/>
    <w:rPr>
      <w:color w:val="000000"/>
      <w:u w:val="none"/>
      <w:lang w:val="en-US"/>
    </w:rPr>
  </w:style>
  <w:style w:type="character" w:styleId="1114">
    <w:name w:val="ListLabel 280"/>
    <w:qFormat/>
    <w:rPr>
      <w:sz w:val="28"/>
      <w:szCs w:val="28"/>
    </w:rPr>
  </w:style>
  <w:style w:type="character" w:styleId="1115">
    <w:name w:val="ListLabel 281"/>
    <w:qFormat/>
  </w:style>
  <w:style w:type="character" w:styleId="1116">
    <w:name w:val="ListLabel 282"/>
    <w:qFormat/>
  </w:style>
  <w:style w:type="character" w:styleId="1117">
    <w:name w:val="ListLabel 283"/>
    <w:qFormat/>
    <w:rPr>
      <w:color w:val="000000"/>
      <w:sz w:val="28"/>
      <w:szCs w:val="28"/>
      <w:u w:val="none"/>
    </w:rPr>
  </w:style>
  <w:style w:type="character" w:styleId="1118">
    <w:name w:val="ListLabel 284"/>
    <w:qFormat/>
    <w:rPr>
      <w:color w:val="000000"/>
      <w:sz w:val="28"/>
      <w:szCs w:val="28"/>
      <w:u w:val="none"/>
      <w:lang w:val="en-US"/>
    </w:rPr>
  </w:style>
  <w:style w:type="character" w:styleId="1119">
    <w:name w:val="ListLabel 285"/>
    <w:qFormat/>
    <w:rPr>
      <w:color w:val="000000"/>
      <w:u w:val="none"/>
    </w:rPr>
  </w:style>
  <w:style w:type="character" w:styleId="1120">
    <w:name w:val="ListLabel 286"/>
    <w:qFormat/>
    <w:rPr>
      <w:color w:val="000000"/>
      <w:u w:val="none"/>
      <w:lang w:val="en-US"/>
    </w:rPr>
  </w:style>
  <w:style w:type="character" w:styleId="1121">
    <w:name w:val="ListLabel 287"/>
    <w:qFormat/>
    <w:rPr>
      <w:sz w:val="28"/>
      <w:szCs w:val="28"/>
    </w:rPr>
  </w:style>
  <w:style w:type="character" w:styleId="1122">
    <w:name w:val="ListLabel 288"/>
    <w:qFormat/>
  </w:style>
  <w:style w:type="character" w:styleId="1123">
    <w:name w:val="ListLabel 289"/>
    <w:qFormat/>
  </w:style>
  <w:style w:type="character" w:styleId="1124">
    <w:name w:val="ListLabel 290"/>
    <w:qFormat/>
    <w:rPr>
      <w:color w:val="000000"/>
      <w:sz w:val="28"/>
      <w:szCs w:val="28"/>
      <w:u w:val="none"/>
    </w:rPr>
  </w:style>
  <w:style w:type="character" w:styleId="1125">
    <w:name w:val="ListLabel 291"/>
    <w:qFormat/>
    <w:rPr>
      <w:color w:val="000000"/>
      <w:sz w:val="28"/>
      <w:szCs w:val="28"/>
      <w:u w:val="none"/>
      <w:lang w:val="en-US"/>
    </w:rPr>
  </w:style>
  <w:style w:type="character" w:styleId="1126">
    <w:name w:val="ListLabel 292"/>
    <w:qFormat/>
    <w:rPr>
      <w:color w:val="000000"/>
      <w:u w:val="none"/>
    </w:rPr>
  </w:style>
  <w:style w:type="character" w:styleId="1127">
    <w:name w:val="ListLabel 293"/>
    <w:qFormat/>
    <w:rPr>
      <w:color w:val="000000"/>
      <w:u w:val="none"/>
      <w:lang w:val="en-US"/>
    </w:rPr>
  </w:style>
  <w:style w:type="character" w:styleId="1128">
    <w:name w:val="ListLabel 294"/>
    <w:qFormat/>
    <w:rPr>
      <w:sz w:val="28"/>
      <w:szCs w:val="28"/>
    </w:rPr>
  </w:style>
  <w:style w:type="character" w:styleId="1129">
    <w:name w:val="ListLabel 295"/>
    <w:qFormat/>
  </w:style>
  <w:style w:type="character" w:styleId="1130">
    <w:name w:val="ListLabel 296"/>
    <w:qFormat/>
  </w:style>
  <w:style w:type="character" w:styleId="1131">
    <w:name w:val="ListLabel 297"/>
    <w:qFormat/>
    <w:rPr>
      <w:color w:val="000000"/>
      <w:sz w:val="28"/>
      <w:szCs w:val="28"/>
      <w:u w:val="none"/>
    </w:rPr>
  </w:style>
  <w:style w:type="character" w:styleId="1132">
    <w:name w:val="ListLabel 298"/>
    <w:qFormat/>
    <w:rPr>
      <w:color w:val="000000"/>
      <w:sz w:val="28"/>
      <w:szCs w:val="28"/>
      <w:u w:val="none"/>
      <w:lang w:val="en-US"/>
    </w:rPr>
  </w:style>
  <w:style w:type="character" w:styleId="1133">
    <w:name w:val="ListLabel 299"/>
    <w:qFormat/>
    <w:rPr>
      <w:color w:val="000000"/>
      <w:u w:val="none"/>
    </w:rPr>
  </w:style>
  <w:style w:type="character" w:styleId="1134">
    <w:name w:val="ListLabel 300"/>
    <w:qFormat/>
    <w:rPr>
      <w:color w:val="000000"/>
      <w:u w:val="none"/>
      <w:lang w:val="en-US"/>
    </w:rPr>
  </w:style>
  <w:style w:type="character" w:styleId="1135">
    <w:name w:val="ListLabel 301"/>
    <w:qFormat/>
    <w:rPr>
      <w:sz w:val="28"/>
      <w:szCs w:val="28"/>
    </w:rPr>
  </w:style>
  <w:style w:type="character" w:styleId="1136">
    <w:name w:val="ListLabel 302"/>
    <w:qFormat/>
  </w:style>
  <w:style w:type="character" w:styleId="1137">
    <w:name w:val="ListLabel 303"/>
    <w:qFormat/>
  </w:style>
  <w:style w:type="character" w:styleId="1138">
    <w:name w:val="ListLabel 304"/>
    <w:qFormat/>
    <w:rPr>
      <w:color w:val="000000"/>
      <w:sz w:val="28"/>
      <w:szCs w:val="28"/>
      <w:u w:val="none"/>
    </w:rPr>
  </w:style>
  <w:style w:type="character" w:styleId="1139">
    <w:name w:val="ListLabel 305"/>
    <w:qFormat/>
    <w:rPr>
      <w:color w:val="000000"/>
      <w:sz w:val="28"/>
      <w:szCs w:val="28"/>
      <w:u w:val="none"/>
      <w:lang w:val="en-US"/>
    </w:rPr>
  </w:style>
  <w:style w:type="character" w:styleId="1140">
    <w:name w:val="ListLabel 306"/>
    <w:qFormat/>
    <w:rPr>
      <w:color w:val="000000"/>
      <w:u w:val="none"/>
    </w:rPr>
  </w:style>
  <w:style w:type="character" w:styleId="1141">
    <w:name w:val="ListLabel 307"/>
    <w:qFormat/>
    <w:rPr>
      <w:color w:val="000000"/>
      <w:u w:val="none"/>
      <w:lang w:val="en-US"/>
    </w:rPr>
  </w:style>
  <w:style w:type="character" w:styleId="1142">
    <w:name w:val="ListLabel 308"/>
    <w:qFormat/>
    <w:rPr>
      <w:sz w:val="28"/>
      <w:szCs w:val="28"/>
    </w:rPr>
  </w:style>
  <w:style w:type="character" w:styleId="1143">
    <w:name w:val="ListLabel 309"/>
    <w:qFormat/>
  </w:style>
  <w:style w:type="character" w:styleId="1144">
    <w:name w:val="ListLabel 310"/>
    <w:qFormat/>
  </w:style>
  <w:style w:type="character" w:styleId="1145">
    <w:name w:val="ListLabel 311"/>
    <w:qFormat/>
    <w:rPr>
      <w:color w:val="000000"/>
      <w:sz w:val="28"/>
      <w:szCs w:val="28"/>
      <w:u w:val="none"/>
    </w:rPr>
  </w:style>
  <w:style w:type="character" w:styleId="1146">
    <w:name w:val="ListLabel 312"/>
    <w:qFormat/>
    <w:rPr>
      <w:color w:val="000000"/>
      <w:sz w:val="28"/>
      <w:szCs w:val="28"/>
      <w:u w:val="none"/>
      <w:lang w:val="en-US"/>
    </w:rPr>
  </w:style>
  <w:style w:type="character" w:styleId="1147">
    <w:name w:val="ListLabel 313"/>
    <w:qFormat/>
    <w:rPr>
      <w:color w:val="000000"/>
      <w:u w:val="none"/>
    </w:rPr>
  </w:style>
  <w:style w:type="character" w:styleId="1148">
    <w:name w:val="ListLabel 314"/>
    <w:qFormat/>
    <w:rPr>
      <w:color w:val="000000"/>
      <w:u w:val="none"/>
      <w:lang w:val="en-US"/>
    </w:rPr>
  </w:style>
  <w:style w:type="character" w:styleId="1149">
    <w:name w:val="ListLabel 315"/>
    <w:qFormat/>
    <w:rPr>
      <w:sz w:val="28"/>
      <w:szCs w:val="28"/>
    </w:rPr>
  </w:style>
  <w:style w:type="character" w:styleId="1150">
    <w:name w:val="ListLabel 316"/>
    <w:qFormat/>
  </w:style>
  <w:style w:type="character" w:styleId="1151">
    <w:name w:val="ListLabel 317"/>
    <w:qFormat/>
  </w:style>
  <w:style w:type="character" w:styleId="1152">
    <w:name w:val="ListLabel 318"/>
    <w:qFormat/>
    <w:rPr>
      <w:color w:val="000000"/>
      <w:sz w:val="28"/>
      <w:szCs w:val="28"/>
      <w:u w:val="none"/>
    </w:rPr>
  </w:style>
  <w:style w:type="character" w:styleId="1153">
    <w:name w:val="ListLabel 319"/>
    <w:qFormat/>
    <w:rPr>
      <w:color w:val="000000"/>
      <w:sz w:val="28"/>
      <w:szCs w:val="28"/>
      <w:u w:val="none"/>
      <w:lang w:val="en-US"/>
    </w:rPr>
  </w:style>
  <w:style w:type="character" w:styleId="1154">
    <w:name w:val="ListLabel 320"/>
    <w:qFormat/>
    <w:rPr>
      <w:color w:val="000000"/>
      <w:u w:val="none"/>
    </w:rPr>
  </w:style>
  <w:style w:type="character" w:styleId="1155">
    <w:name w:val="ListLabel 321"/>
    <w:qFormat/>
    <w:rPr>
      <w:color w:val="000000"/>
      <w:u w:val="none"/>
      <w:lang w:val="en-US"/>
    </w:rPr>
  </w:style>
  <w:style w:type="character" w:styleId="1156">
    <w:name w:val="ListLabel 322"/>
    <w:qFormat/>
    <w:rPr>
      <w:sz w:val="28"/>
      <w:szCs w:val="28"/>
    </w:rPr>
  </w:style>
  <w:style w:type="character" w:styleId="1157">
    <w:name w:val="ListLabel 323"/>
    <w:qFormat/>
  </w:style>
  <w:style w:type="character" w:styleId="1158">
    <w:name w:val="ListLabel 324"/>
    <w:qFormat/>
  </w:style>
  <w:style w:type="character" w:styleId="1159">
    <w:name w:val="ListLabel 325"/>
    <w:qFormat/>
    <w:rPr>
      <w:color w:val="000000"/>
      <w:sz w:val="28"/>
      <w:szCs w:val="28"/>
      <w:u w:val="none"/>
    </w:rPr>
  </w:style>
  <w:style w:type="character" w:styleId="1160">
    <w:name w:val="ListLabel 326"/>
    <w:qFormat/>
    <w:rPr>
      <w:color w:val="000000"/>
      <w:sz w:val="28"/>
      <w:szCs w:val="28"/>
      <w:u w:val="none"/>
      <w:lang w:val="en-US"/>
    </w:rPr>
  </w:style>
  <w:style w:type="character" w:styleId="1161">
    <w:name w:val="ListLabel 327"/>
    <w:qFormat/>
    <w:rPr>
      <w:color w:val="000000"/>
      <w:u w:val="none"/>
    </w:rPr>
  </w:style>
  <w:style w:type="character" w:styleId="1162">
    <w:name w:val="ListLabel 328"/>
    <w:qFormat/>
    <w:rPr>
      <w:color w:val="000000"/>
      <w:u w:val="none"/>
      <w:lang w:val="en-US"/>
    </w:rPr>
  </w:style>
  <w:style w:type="character" w:styleId="1163">
    <w:name w:val="ListLabel 329"/>
    <w:qFormat/>
    <w:rPr>
      <w:sz w:val="28"/>
      <w:szCs w:val="28"/>
    </w:rPr>
  </w:style>
  <w:style w:type="character" w:styleId="1164">
    <w:name w:val="ListLabel 330"/>
    <w:qFormat/>
  </w:style>
  <w:style w:type="character" w:styleId="1165">
    <w:name w:val="ListLabel 331"/>
    <w:qFormat/>
  </w:style>
  <w:style w:type="character" w:styleId="1166">
    <w:name w:val="ListLabel 332"/>
    <w:qFormat/>
    <w:rPr>
      <w:color w:val="000000"/>
      <w:sz w:val="28"/>
      <w:szCs w:val="28"/>
      <w:u w:val="none"/>
    </w:rPr>
  </w:style>
  <w:style w:type="character" w:styleId="1167">
    <w:name w:val="ListLabel 333"/>
    <w:qFormat/>
    <w:rPr>
      <w:color w:val="000000"/>
      <w:sz w:val="28"/>
      <w:szCs w:val="28"/>
      <w:u w:val="none"/>
      <w:lang w:val="en-US"/>
    </w:rPr>
  </w:style>
  <w:style w:type="character" w:styleId="1168">
    <w:name w:val="ListLabel 334"/>
    <w:qFormat/>
    <w:rPr>
      <w:color w:val="000000"/>
      <w:u w:val="none"/>
    </w:rPr>
  </w:style>
  <w:style w:type="character" w:styleId="1169">
    <w:name w:val="ListLabel 335"/>
    <w:qFormat/>
    <w:rPr>
      <w:color w:val="000000"/>
      <w:u w:val="none"/>
      <w:lang w:val="en-US"/>
    </w:rPr>
  </w:style>
  <w:style w:type="character" w:styleId="1170">
    <w:name w:val="ListLabel 336"/>
    <w:qFormat/>
    <w:rPr>
      <w:sz w:val="28"/>
      <w:szCs w:val="28"/>
    </w:rPr>
  </w:style>
  <w:style w:type="character" w:styleId="1171">
    <w:name w:val="ListLabel 337"/>
    <w:qFormat/>
  </w:style>
  <w:style w:type="character" w:styleId="1172">
    <w:name w:val="ListLabel 338"/>
    <w:qFormat/>
  </w:style>
  <w:style w:type="character" w:styleId="1173">
    <w:name w:val="ListLabel 339"/>
    <w:qFormat/>
    <w:rPr>
      <w:color w:val="000000"/>
      <w:sz w:val="28"/>
      <w:szCs w:val="28"/>
      <w:u w:val="none"/>
    </w:rPr>
  </w:style>
  <w:style w:type="character" w:styleId="1174">
    <w:name w:val="ListLabel 340"/>
    <w:qFormat/>
    <w:rPr>
      <w:color w:val="000000"/>
      <w:sz w:val="28"/>
      <w:szCs w:val="28"/>
      <w:u w:val="none"/>
      <w:lang w:val="en-US"/>
    </w:rPr>
  </w:style>
  <w:style w:type="character" w:styleId="1175">
    <w:name w:val="ListLabel 341"/>
    <w:qFormat/>
    <w:rPr>
      <w:color w:val="000000"/>
      <w:u w:val="none"/>
    </w:rPr>
  </w:style>
  <w:style w:type="character" w:styleId="1176">
    <w:name w:val="ListLabel 342"/>
    <w:qFormat/>
    <w:rPr>
      <w:color w:val="000000"/>
      <w:u w:val="none"/>
      <w:lang w:val="en-US"/>
    </w:rPr>
  </w:style>
  <w:style w:type="character" w:styleId="1177">
    <w:name w:val="ListLabel 343"/>
    <w:qFormat/>
    <w:rPr>
      <w:sz w:val="28"/>
      <w:szCs w:val="28"/>
    </w:rPr>
  </w:style>
  <w:style w:type="character" w:styleId="1178">
    <w:name w:val="ListLabel 344"/>
    <w:qFormat/>
  </w:style>
  <w:style w:type="character" w:styleId="1179">
    <w:name w:val="ListLabel 345"/>
    <w:qFormat/>
  </w:style>
  <w:style w:type="character" w:styleId="1180">
    <w:name w:val="ListLabel 346"/>
    <w:qFormat/>
    <w:rPr>
      <w:color w:val="000000"/>
      <w:sz w:val="28"/>
      <w:szCs w:val="28"/>
      <w:u w:val="none"/>
    </w:rPr>
  </w:style>
  <w:style w:type="character" w:styleId="1181">
    <w:name w:val="ListLabel 347"/>
    <w:qFormat/>
    <w:rPr>
      <w:color w:val="000000"/>
      <w:sz w:val="28"/>
      <w:szCs w:val="28"/>
      <w:u w:val="none"/>
      <w:lang w:val="en-US"/>
    </w:rPr>
  </w:style>
  <w:style w:type="character" w:styleId="1182">
    <w:name w:val="ListLabel 348"/>
    <w:qFormat/>
    <w:rPr>
      <w:color w:val="000000"/>
      <w:u w:val="none"/>
    </w:rPr>
  </w:style>
  <w:style w:type="character" w:styleId="1183">
    <w:name w:val="ListLabel 349"/>
    <w:qFormat/>
    <w:rPr>
      <w:color w:val="000000"/>
      <w:u w:val="none"/>
      <w:lang w:val="en-US"/>
    </w:rPr>
  </w:style>
  <w:style w:type="character" w:styleId="1184">
    <w:name w:val="ListLabel 350"/>
    <w:qFormat/>
    <w:rPr>
      <w:sz w:val="28"/>
      <w:szCs w:val="28"/>
    </w:rPr>
  </w:style>
  <w:style w:type="character" w:styleId="1185">
    <w:name w:val="ListLabel 351"/>
    <w:qFormat/>
  </w:style>
  <w:style w:type="character" w:styleId="1186">
    <w:name w:val="ListLabel 352"/>
    <w:qFormat/>
  </w:style>
  <w:style w:type="character" w:styleId="1187">
    <w:name w:val="ListLabel 353"/>
    <w:qFormat/>
    <w:rPr>
      <w:color w:val="000000"/>
      <w:sz w:val="28"/>
      <w:szCs w:val="28"/>
      <w:u w:val="none"/>
    </w:rPr>
  </w:style>
  <w:style w:type="character" w:styleId="1188">
    <w:name w:val="ListLabel 354"/>
    <w:qFormat/>
    <w:rPr>
      <w:color w:val="000000"/>
      <w:sz w:val="28"/>
      <w:szCs w:val="28"/>
      <w:u w:val="none"/>
      <w:lang w:val="en-US"/>
    </w:rPr>
  </w:style>
  <w:style w:type="paragraph" w:styleId="1189">
    <w:name w:val="Заголовок"/>
    <w:basedOn w:val="830"/>
    <w:next w:val="119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190">
    <w:name w:val="Body Text"/>
    <w:basedOn w:val="830"/>
    <w:pPr>
      <w:ind w:left="0" w:firstLine="0"/>
      <w:spacing w:before="0" w:after="120"/>
      <w:widowControl/>
    </w:pPr>
    <w:rPr>
      <w:sz w:val="24"/>
      <w:szCs w:val="24"/>
    </w:rPr>
  </w:style>
  <w:style w:type="paragraph" w:styleId="1191">
    <w:name w:val="List"/>
    <w:basedOn w:val="1190"/>
    <w:rPr>
      <w:rFonts w:cs="Mangal"/>
    </w:rPr>
  </w:style>
  <w:style w:type="paragraph" w:styleId="1192">
    <w:name w:val="Caption"/>
    <w:basedOn w:val="83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193">
    <w:name w:val="Указатель"/>
    <w:basedOn w:val="830"/>
    <w:qFormat/>
    <w:pPr>
      <w:suppressLineNumbers/>
    </w:pPr>
    <w:rPr>
      <w:rFonts w:cs="Mangal"/>
    </w:rPr>
  </w:style>
  <w:style w:type="paragraph" w:styleId="1194">
    <w:name w:val="Title"/>
    <w:basedOn w:val="830"/>
    <w:qFormat/>
    <w:pPr>
      <w:keepNext/>
      <w:spacing w:before="240" w:after="120"/>
    </w:pPr>
    <w:rPr>
      <w:rFonts w:ascii="Liberation Sans" w:hAnsi="Liberation Sans" w:eastAsia="Microsoft YaHei" w:cs="Mangal"/>
    </w:rPr>
  </w:style>
  <w:style w:type="paragraph" w:styleId="1195">
    <w:name w:val="Caption"/>
    <w:basedOn w:val="83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196">
    <w:name w:val="index heading"/>
    <w:basedOn w:val="830"/>
    <w:qFormat/>
    <w:pPr>
      <w:suppressLineNumbers/>
    </w:pPr>
    <w:rPr>
      <w:rFonts w:cs="Mangal"/>
    </w:rPr>
  </w:style>
  <w:style w:type="paragraph" w:styleId="1197" w:customStyle="1">
    <w:name w:val="ConsPlusNonformat"/>
    <w:qFormat/>
    <w:pPr>
      <w:jc w:val="left"/>
      <w:widowControl w:val="off"/>
    </w:pPr>
    <w:rPr>
      <w:rFonts w:ascii="Courier New" w:hAnsi="Courier New" w:eastAsia="Times New Roman" w:cs="Courier New"/>
      <w:color w:val="00000a"/>
      <w:sz w:val="28"/>
      <w:szCs w:val="20"/>
      <w:lang w:val="ru-RU" w:eastAsia="ru-RU" w:bidi="ar-SA"/>
    </w:rPr>
  </w:style>
  <w:style w:type="paragraph" w:styleId="1198" w:customStyle="1">
    <w:name w:val="ConsPlusNormal"/>
    <w:qFormat/>
    <w:pPr>
      <w:ind w:firstLine="720"/>
      <w:jc w:val="left"/>
      <w:widowControl w:val="off"/>
    </w:pPr>
    <w:rPr>
      <w:rFonts w:ascii="Arial" w:hAnsi="Arial" w:eastAsia="Times New Roman" w:cs="Arial"/>
      <w:color w:val="00000a"/>
      <w:sz w:val="28"/>
      <w:szCs w:val="20"/>
      <w:lang w:val="ru-RU" w:eastAsia="ru-RU" w:bidi="ar-SA"/>
    </w:rPr>
  </w:style>
  <w:style w:type="numbering" w:styleId="1199" w:default="1">
    <w:name w:val="No List"/>
    <w:uiPriority w:val="99"/>
    <w:semiHidden/>
    <w:unhideWhenUsed/>
    <w:qFormat/>
  </w:style>
  <w:style w:type="table" w:styleId="12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201" w:customStyle="1">
    <w:name w:val="Основной текст"/>
    <w:basedOn w:val="837"/>
    <w:next w:val="875"/>
    <w:link w:val="837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consultantplus://offline/main?base=LAW;n=112770;fld=134;dst=102068" TargetMode="External"/><Relationship Id="rId10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12" Type="http://schemas.openxmlformats.org/officeDocument/2006/relationships/hyperlink" Target="consultantplus://offline/ref=A7C7550A2097A10F5680F3FCC98200D36F7317EDB12B68F3978A36D1E2A931FD7C620881F3695469m3nBK" TargetMode="External"/><Relationship Id="rId13" Type="http://schemas.openxmlformats.org/officeDocument/2006/relationships/hyperlink" Target="consultantplus://offline/main?base=LAW;n=112770;fld=134;dst=101017" TargetMode="External"/><Relationship Id="rId14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16" Type="http://schemas.openxmlformats.org/officeDocument/2006/relationships/hyperlink" Target="consultantplus://offline/ref=CD735DF92249256AE300504E09B27F3DF32C374B2F0972F77A2DE507B652ECF0F6C2D749h7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КонсультантПлюс Версия 4022.00.50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27.08.2012 N 860(ред. от 22.12.2022)"Об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  <dc:subject/>
  <dc:creator>ЖубатоваМ</dc:creator>
  <dc:description/>
  <dc:language>ru-RU</dc:language>
  <cp:revision>129</cp:revision>
  <dcterms:created xsi:type="dcterms:W3CDTF">2023-02-07T15:21:00Z</dcterms:created>
  <dcterms:modified xsi:type="dcterms:W3CDTF">2025-01-23T05:53:27Z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4022.00.50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