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ПРОТОКОЛ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заседания комиссии по приватизации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«24</w:t>
      </w:r>
      <w:r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февраля 2025 г.                                                                                                              № 2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28"/>
        <w:gridCol w:w="589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 заседания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Белгородская обл., п. Ровеньки, ул.Ленина,50, зал заседаний, 1 этаж.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 начала заседания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92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10.00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ind w:left="0" w:right="0"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1"/>
        <w:gridCol w:w="243"/>
        <w:gridCol w:w="7166"/>
      </w:tblGrid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center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комиссии: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27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9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Андриевский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Геннадий Валерьевич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экономического и стратегического развития администрации района (председатель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Гребеник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Петровна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имущественных правоотношений администрации Ровеньского района (заместитель председателя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9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Мандрыгина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Милана Раисовна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имущественных правоотношений администрации Ровеньского района (секретарь комиссии)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4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Гришко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Тамара Михайловна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земельных правоотношений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Ряднова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Николаевна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муниципальных закупок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Ряднова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Елена Ивановна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МКУ «Центр бухгалтерского учета Ровеньского района»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27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Соловьёва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Алина Александровна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правового обеспечения, муниципальной службы и кадров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8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Морковская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Алла Ивановна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доходов управления финансов и бюджетной политики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4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8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Ковалева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Марина Александровна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16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имущественных правоотношений администрации Ровеньского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68"/>
        <w:gridCol w:w="239"/>
        <w:gridCol w:w="48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членов комиссии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Присутствовали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8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Отсутствовали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35"/>
        <w:ind w:left="0" w:right="0"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Комиссия правомочна.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Повестка заседания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</w:p>
    <w:p>
      <w:pPr>
        <w:pStyle w:val="835"/>
        <w:ind w:left="0" w:right="0" w:firstLine="709"/>
        <w:jc w:val="both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Рассмотрение заявок и документов претендентов, определение участников продажи муниципального имущества посредством публичного предложения.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35"/>
        <w:ind w:left="0" w:right="0" w:firstLine="708"/>
        <w:jc w:val="both"/>
        <w:tabs>
          <w:tab w:val="left" w:pos="4500" w:leader="none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Сведения о продавце имущества:</w:t>
      </w:r>
      <w:r>
        <w:rPr>
          <w:b w:val="0"/>
          <w:bCs w:val="0"/>
          <w:sz w:val="26"/>
          <w:szCs w:val="26"/>
        </w:rPr>
        <w:t xml:space="preserve"> Администрация муниципального района «Ровеньский район» Белгородской области, 309740, Белгородская обл., п.Ровеньки, ул.Ленина,50.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720"/>
        <w:jc w:val="both"/>
        <w:tabs>
          <w:tab w:val="left" w:pos="450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Наименование и характеристика имущества: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pPr>
      <w:r>
        <w:rPr>
          <w:sz w:val="26"/>
          <w:szCs w:val="26"/>
        </w:rPr>
        <w:tab/>
        <w:t xml:space="preserve">Лот №1 </w:t>
      </w:r>
      <w:r>
        <w:rPr>
          <w:rFonts w:cs="Times New Roman"/>
          <w:b w:val="0"/>
          <w:bCs w:val="0"/>
          <w:color w:val="000000"/>
          <w:spacing w:val="-2"/>
          <w:sz w:val="26"/>
          <w:szCs w:val="26"/>
          <w:lang w:val="ru-RU"/>
        </w:rPr>
        <w:t xml:space="preserve"> -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автобус марки КАВЗ модель ТС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4238-02, 2009 года изготовления, идентификационный номер (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VIN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)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77, модель, №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6ISBe 210 6951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1971, шасси (рама) № отсутствует, кузов (кабина, прицеп) №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Z7N423802900010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77, цвет кузова (кабины, прицепа) белый, мощность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210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 л.с., рабочий объем двигателя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en-US"/>
        </w:rPr>
        <w:t xml:space="preserve">6700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 куб.см, тип двигателя дизельный, экологический класс третий, разрешенная максимальная масса 12250 кг, масса без нагрузки 8435 кг, паспорт транспортного средства 45 МУ 805752 выдан ООО «КАВЗ» г. Курган, ул. Автозаводская, 5 дата выдачи 30.09.2009г. 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lang w:val="ru-RU"/>
        </w:rPr>
        <w:t xml:space="preserve">(не на ходу, отсутствует аккумуляторная батарея и стартер, а также неисправно электрооборудование автобуса)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-2"/>
          <w:sz w:val="27"/>
          <w:szCs w:val="27"/>
          <w:lang w:val="ru-RU"/>
        </w:rPr>
        <w:t xml:space="preserve">.</w:t>
      </w:r>
      <w:r/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</w:p>
    <w:p>
      <w:pPr>
        <w:pStyle w:val="835"/>
        <w:ind w:left="0" w:right="0" w:firstLine="709"/>
        <w:jc w:val="both"/>
        <w:rPr>
          <w:sz w:val="27"/>
          <w:szCs w:val="27"/>
          <w:highlight w:val="none"/>
        </w:rPr>
      </w:pPr>
      <w:r>
        <w:rPr>
          <w:sz w:val="26"/>
          <w:szCs w:val="26"/>
        </w:rPr>
        <w:t xml:space="preserve">По окончании срока подачи заявок на участие в продаже посредством публичного предложения в электронной форме вышеуказанного муниципального имущества по Лоту №1</w:t>
      </w:r>
      <w:r>
        <w:rPr>
          <w:sz w:val="26"/>
          <w:szCs w:val="26"/>
        </w:rPr>
        <w:t xml:space="preserve"> были</w:t>
      </w:r>
      <w:r>
        <w:rPr>
          <w:sz w:val="26"/>
          <w:szCs w:val="26"/>
        </w:rPr>
        <w:t xml:space="preserve"> подан</w:t>
      </w:r>
      <w:r>
        <w:rPr>
          <w:sz w:val="26"/>
          <w:szCs w:val="26"/>
        </w:rPr>
        <w:t xml:space="preserve">ы  две заявки. 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tbl>
      <w:tblPr>
        <w:tblW w:w="0" w:type="auto"/>
        <w:tblInd w:w="-1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6"/>
        <w:gridCol w:w="2650"/>
        <w:gridCol w:w="4073"/>
        <w:gridCol w:w="2541"/>
      </w:tblGrid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№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заявки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Ф.И.О.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претендента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Юридический (почтовый) адрес претендента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Дата и время регистрации заявки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</w:tr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7998</w:t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Молчанов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Вячеслав Игоревич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308012, Белгородская область, г.Белгород, ул.Костюкова, д.59, кв.44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17.02.2025 23:27:04</w:t>
            </w:r>
            <w:r>
              <w:rPr>
                <w:sz w:val="26"/>
                <w:szCs w:val="26"/>
                <w:highlight w:val="none"/>
              </w:rPr>
            </w:r>
          </w:p>
        </w:tc>
      </w:tr>
      <w:tr>
        <w:tblPrEx/>
        <w:trPr>
          <w:trHeight w:val="8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6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2658</w:t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0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Султанов </w:t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Рамиль Рашидович</w:t>
            </w:r>
            <w:r>
              <w:rPr>
                <w:sz w:val="26"/>
                <w:szCs w:val="26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3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423575, Республика Татарстан, г.Нижнекамск, ул.Тихая Аллея, д.9, кв.25</w:t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19.02.2025 16:54:30</w:t>
            </w:r>
            <w:r>
              <w:rPr>
                <w:sz w:val="26"/>
                <w:szCs w:val="26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  <w:lang w:val="ru-RU"/>
        </w:rPr>
        <w:t xml:space="preserve">             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left="0" w:right="0" w:firstLine="0"/>
        <w:jc w:val="both"/>
        <w:spacing w:before="0" w:after="0"/>
        <w:widowControl w:val="off"/>
        <w:tabs>
          <w:tab w:val="left" w:pos="851" w:leader="none"/>
        </w:tabs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  <w:t xml:space="preserve">           Перечень отозванных заявок:</w:t>
      </w:r>
      <w:r>
        <w:rPr>
          <w:sz w:val="26"/>
          <w:szCs w:val="26"/>
          <w:highlight w:val="none"/>
        </w:rPr>
        <w:t xml:space="preserve"> отозванных заявок нет.</w:t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  <w:r>
        <w:rPr>
          <w:rFonts w:cs="Times New Roman"/>
          <w:b w:val="0"/>
          <w:bCs w:val="0"/>
          <w:i w:val="0"/>
          <w:caps w:val="0"/>
          <w:smallCaps w:val="0"/>
          <w:color w:val="000000"/>
          <w:spacing w:val="-2"/>
          <w:sz w:val="26"/>
          <w:szCs w:val="26"/>
          <w:highlight w:val="none"/>
        </w:rPr>
      </w:r>
    </w:p>
    <w:p>
      <w:pPr>
        <w:pStyle w:val="835"/>
        <w:ind w:left="0" w:right="0" w:firstLine="72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  <w:u w:val="none"/>
        </w:rPr>
        <w:t xml:space="preserve">Каждый претендент внес</w:t>
      </w:r>
      <w:r>
        <w:rPr>
          <w:b w:val="0"/>
          <w:bCs w:val="0"/>
          <w:sz w:val="26"/>
          <w:szCs w:val="26"/>
          <w:u w:val="none"/>
        </w:rPr>
        <w:t xml:space="preserve"> задаток в размере 10%, что составляет </w:t>
      </w:r>
      <w:r>
        <w:rPr>
          <w:b w:val="0"/>
          <w:bCs w:val="0"/>
          <w:sz w:val="26"/>
          <w:szCs w:val="26"/>
          <w:u w:val="none"/>
        </w:rPr>
        <w:t xml:space="preserve">16 944</w:t>
      </w:r>
      <w:r>
        <w:rPr>
          <w:b w:val="0"/>
          <w:bCs w:val="0"/>
          <w:sz w:val="26"/>
          <w:szCs w:val="26"/>
          <w:u w:val="none"/>
        </w:rPr>
        <w:t xml:space="preserve"> (шестнадцать тысяч девятьсот сорок четыре) рубля 00 копеек от начальной цены предложения 169 440 (сто шестьдесят девять тысяч четыреста сорок) рублей 00 копеек, на счет Оператора торговой площадки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"http://utp.sberbank-ast.ru/"</w:instrText>
      </w:r>
      <w:r>
        <w:rPr>
          <w:sz w:val="26"/>
          <w:szCs w:val="26"/>
        </w:rPr>
        <w:fldChar w:fldCharType="separate"/>
      </w:r>
      <w:r>
        <w:rPr>
          <w:rStyle w:val="857"/>
          <w:b w:val="0"/>
          <w:bCs w:val="0"/>
          <w:sz w:val="26"/>
          <w:szCs w:val="26"/>
          <w:u w:val="none"/>
        </w:rPr>
        <w:t xml:space="preserve">http://</w:t>
      </w:r>
      <w:r>
        <w:rPr>
          <w:rStyle w:val="857"/>
          <w:b w:val="0"/>
          <w:bCs w:val="0"/>
          <w:sz w:val="26"/>
          <w:szCs w:val="26"/>
          <w:u w:val="none"/>
          <w:lang w:val="en-US"/>
        </w:rPr>
        <w:t xml:space="preserve">utp</w:t>
      </w:r>
      <w:r>
        <w:rPr>
          <w:rStyle w:val="857"/>
          <w:b w:val="0"/>
          <w:bCs w:val="0"/>
          <w:sz w:val="26"/>
          <w:szCs w:val="26"/>
          <w:u w:val="none"/>
        </w:rPr>
        <w:t xml:space="preserve">.sberbank-ast.ru</w:t>
      </w:r>
      <w:r>
        <w:rPr>
          <w:sz w:val="26"/>
          <w:szCs w:val="26"/>
        </w:rPr>
        <w:fldChar w:fldCharType="end"/>
      </w:r>
      <w:r>
        <w:rPr>
          <w:b w:val="0"/>
          <w:bCs w:val="0"/>
          <w:sz w:val="26"/>
          <w:szCs w:val="26"/>
          <w:u w:val="none"/>
        </w:rPr>
        <w:t xml:space="preserve"> по реквизитам, указанным в информационном сообщении в срок до 21 февраля 2025 года.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0" w:right="0" w:firstLine="720"/>
        <w:jc w:val="both"/>
        <w:rPr>
          <w:b w:val="0"/>
          <w:bCs w:val="0"/>
          <w:sz w:val="26"/>
          <w:szCs w:val="26"/>
          <w:highlight w:val="none"/>
          <w:u w:val="none"/>
        </w:rPr>
      </w:pPr>
      <w:r>
        <w:rPr>
          <w:b/>
          <w:sz w:val="26"/>
          <w:szCs w:val="26"/>
          <w:highlight w:val="none"/>
          <w:u w:val="single"/>
        </w:rPr>
      </w:r>
      <w:r>
        <w:rPr>
          <w:b/>
          <w:sz w:val="26"/>
          <w:szCs w:val="26"/>
          <w:highlight w:val="none"/>
          <w:u w:val="single"/>
        </w:rPr>
      </w:r>
    </w:p>
    <w:p>
      <w:pPr>
        <w:ind w:left="0" w:right="0" w:firstLine="720"/>
        <w:jc w:val="both"/>
        <w:rPr>
          <w:b/>
          <w:bCs/>
          <w:sz w:val="26"/>
          <w:szCs w:val="26"/>
          <w:highlight w:val="none"/>
          <w:u w:val="single"/>
        </w:rPr>
      </w:pPr>
      <w:r>
        <w:rPr>
          <w:b w:val="0"/>
          <w:bCs w:val="0"/>
          <w:sz w:val="26"/>
          <w:szCs w:val="26"/>
          <w:highlight w:val="none"/>
          <w:u w:val="none"/>
        </w:rPr>
      </w:r>
      <w:r>
        <w:rPr>
          <w:b/>
          <w:sz w:val="26"/>
          <w:szCs w:val="26"/>
          <w:u w:val="single"/>
        </w:rPr>
        <w:t xml:space="preserve">Решили:</w:t>
      </w:r>
      <w:r/>
      <w:r>
        <w:rPr>
          <w:b w:val="0"/>
          <w:bCs w:val="0"/>
          <w:sz w:val="26"/>
          <w:szCs w:val="26"/>
          <w:highlight w:val="none"/>
          <w:u w:val="none"/>
        </w:rPr>
      </w:r>
      <w:r>
        <w:rPr>
          <w:b w:val="0"/>
          <w:bCs w:val="0"/>
          <w:sz w:val="26"/>
          <w:szCs w:val="26"/>
          <w:highlight w:val="none"/>
          <w:u w:val="none"/>
        </w:rPr>
      </w:r>
    </w:p>
    <w:p>
      <w:pPr>
        <w:ind w:left="0" w:right="0" w:firstLine="720"/>
        <w:jc w:val="both"/>
        <w:rPr>
          <w:highlight w:val="none"/>
        </w:rPr>
      </w:pPr>
      <w:r>
        <w:rPr>
          <w:b w:val="0"/>
          <w:bCs w:val="0"/>
          <w:sz w:val="26"/>
          <w:szCs w:val="26"/>
          <w:highlight w:val="none"/>
          <w:u w:val="none"/>
        </w:rPr>
      </w:r>
      <w:r>
        <w:rPr>
          <w:b w:val="0"/>
          <w:bCs w:val="0"/>
          <w:sz w:val="26"/>
          <w:szCs w:val="26"/>
          <w:highlight w:val="none"/>
          <w:u w:val="none"/>
        </w:rPr>
      </w:r>
    </w:p>
    <w:p>
      <w:pPr>
        <w:pStyle w:val="835"/>
        <w:ind w:left="0" w:right="0" w:firstLine="720"/>
        <w:jc w:val="both"/>
        <w:rPr>
          <w:highlight w:val="none"/>
        </w:rPr>
      </w:pPr>
      <w:r>
        <w:rPr>
          <w:b w:val="0"/>
          <w:bCs w:val="0"/>
          <w:sz w:val="26"/>
          <w:szCs w:val="26"/>
          <w:u w:val="none"/>
        </w:rPr>
        <w:t xml:space="preserve">Комиссия, рассмо</w:t>
      </w:r>
      <w:r>
        <w:rPr>
          <w:b w:val="0"/>
          <w:bCs w:val="0"/>
          <w:sz w:val="26"/>
          <w:szCs w:val="26"/>
          <w:u w:val="none"/>
        </w:rPr>
        <w:t xml:space="preserve">трев заявки и документы</w:t>
      </w:r>
      <w:r>
        <w:rPr>
          <w:b w:val="0"/>
          <w:bCs w:val="0"/>
          <w:sz w:val="26"/>
          <w:szCs w:val="26"/>
          <w:u w:val="none"/>
        </w:rPr>
        <w:t xml:space="preserve"> претендентов на участие в продаже муниципального имущества посредством публичного предложения в электронной форме на соответствие их требованиям и условиям Федерального закона от 21.12.2001 №178-ФЗ «О приватизации государственного и муниципального имущест</w:t>
      </w:r>
      <w:r>
        <w:rPr>
          <w:b w:val="0"/>
          <w:bCs w:val="0"/>
          <w:sz w:val="26"/>
          <w:szCs w:val="26"/>
          <w:u w:val="none"/>
        </w:rPr>
        <w:t xml:space="preserve">ва», постановления Правительства Российской Федерации от 27 августа 2012 года №860 «Об организации и проведении продажи государственного или муниципального имущества в электронной форме», Положения о порядке и условиях приватизации муниципального имущества</w:t>
      </w:r>
      <w:r>
        <w:rPr>
          <w:b w:val="0"/>
          <w:bCs w:val="0"/>
          <w:sz w:val="26"/>
          <w:szCs w:val="26"/>
          <w:u w:val="none"/>
        </w:rPr>
        <w:t xml:space="preserve"> муниципальн</w:t>
      </w:r>
      <w:r>
        <w:rPr>
          <w:b w:val="0"/>
          <w:bCs w:val="0"/>
          <w:sz w:val="26"/>
          <w:szCs w:val="26"/>
          <w:u w:val="none"/>
        </w:rPr>
        <w:t xml:space="preserve">ого района «Ровеньский район» Белгородской области, утвержденным решение Муниципального совета Ровеньского района Белгородской области от 31.07.2009 №217, </w:t>
      </w:r>
      <w:r>
        <w:rPr>
          <w:b w:val="0"/>
          <w:bCs w:val="0"/>
          <w:sz w:val="26"/>
          <w:szCs w:val="26"/>
          <w:highlight w:val="none"/>
          <w:u w:val="none"/>
        </w:rPr>
        <w:t xml:space="preserve">приняла решение признать участниками продажи муниципального имущества посредством публичного предложения в электронной форме следующих претендентов: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20"/>
        <w:jc w:val="both"/>
        <w:rPr>
          <w:b w:val="0"/>
          <w:bCs w:val="0"/>
          <w:sz w:val="26"/>
          <w:szCs w:val="26"/>
          <w:highlight w:val="none"/>
          <w:u w:val="none"/>
        </w:rPr>
      </w:pPr>
      <w:r>
        <w:rPr>
          <w:highlight w:val="none"/>
        </w:rPr>
      </w:r>
      <w:r>
        <w:rPr>
          <w:highlight w:val="none"/>
        </w:rPr>
      </w:r>
    </w:p>
    <w:tbl>
      <w:tblPr>
        <w:tblW w:w="495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46"/>
        <w:gridCol w:w="7895"/>
      </w:tblGrid>
      <w:tr>
        <w:tblPrEx/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6" w:type="dxa"/>
            <w:vAlign w:val="center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Номер лота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5" w:type="dxa"/>
            <w:vAlign w:val="center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Наименование участника (юридического лица/ Ф.И.О. физического лица)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2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Лот №1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3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5" w:type="dxa"/>
            <w:vAlign w:val="center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Молчанов Вячеслав Игоревич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6" w:type="dxa"/>
            <w:vAlign w:val="center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5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Султанов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  <w:t xml:space="preserve">Рамиль Рашидович</w:t>
            </w:r>
            <w:r/>
            <w:r>
              <w:rPr>
                <w:sz w:val="26"/>
                <w:szCs w:val="26"/>
                <w:highlight w:val="none"/>
              </w:rPr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</w:tr>
    </w:tbl>
    <w:p>
      <w:pPr>
        <w:pStyle w:val="835"/>
        <w:ind w:left="0" w:right="0" w:firstLine="0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Какие будут вопросы? Замечания? Предложения? (Голосуют)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«За» - 9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«Против» - 0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680" w:right="0" w:firstLine="0"/>
        <w:jc w:val="both"/>
        <w:tabs>
          <w:tab w:val="left" w:pos="851" w:leader="none"/>
        </w:tabs>
        <w:rPr>
          <w:sz w:val="26"/>
          <w:szCs w:val="26"/>
        </w:rPr>
      </w:pPr>
      <w:r>
        <w:rPr>
          <w:b/>
          <w:spacing w:val="-2"/>
          <w:sz w:val="26"/>
          <w:szCs w:val="26"/>
          <w:u w:val="single"/>
        </w:rPr>
        <w:t xml:space="preserve">Принято единогласно.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ind w:left="0" w:right="0" w:firstLine="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7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</w:pPr>
            <w:r>
              <w:rPr>
                <w:b/>
                <w:sz w:val="28"/>
                <w:szCs w:val="28"/>
              </w:rPr>
              <w:t xml:space="preserve">П</w:t>
            </w:r>
            <w:r>
              <w:rPr>
                <w:b/>
                <w:sz w:val="28"/>
                <w:szCs w:val="28"/>
              </w:rPr>
              <w:t xml:space="preserve">редседател</w:t>
            </w:r>
            <w:r>
              <w:rPr>
                <w:b/>
                <w:sz w:val="28"/>
                <w:szCs w:val="28"/>
              </w:rPr>
              <w:t xml:space="preserve">ь</w:t>
            </w:r>
            <w:r>
              <w:rPr>
                <w:b/>
                <w:sz w:val="28"/>
                <w:szCs w:val="28"/>
              </w:rPr>
              <w:t xml:space="preserve"> комиссии        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Г.В.Андриевский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</w:pPr>
            <w:r>
              <w:rPr>
                <w:b/>
                <w:sz w:val="28"/>
                <w:szCs w:val="28"/>
              </w:rPr>
              <w:t xml:space="preserve">Заместитель председателя комиссии                                               А.П.Гребеник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Члены комиссии: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комиссии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М.Р.Мандрыгина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А.И. Морковская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widowControl/>
            </w:pPr>
            <w:r/>
            <w:r/>
          </w:p>
        </w:tc>
      </w:tr>
      <w:tr>
        <w:tblPrEx/>
        <w:trPr>
          <w:trHeight w:val="37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jc w:val="right"/>
              <w:widowControl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Т.М. Гришко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righ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А.Н. Ряднова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righ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</w:pPr>
            <w:r>
              <w:rPr>
                <w:rFonts w:cs="Times New Roman"/>
                <w:b/>
                <w:sz w:val="28"/>
                <w:szCs w:val="28"/>
              </w:rPr>
              <w:t xml:space="preserve">М.А. Ковалёва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А.А. Соловьёва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75" w:type="dxa"/>
            <w:vAlign w:val="top"/>
            <w:vMerge w:val="restart"/>
            <w:textDirection w:val="lrTb"/>
            <w:noWrap w:val="false"/>
          </w:tcPr>
          <w:p>
            <w:pPr>
              <w:pStyle w:val="835"/>
              <w:ind w:left="0" w:right="0" w:firstLine="0"/>
              <w:jc w:val="right"/>
              <w:widowControl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Е.И.Ряднова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ind w:left="0" w:firstLine="0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567" w:right="850" w:bottom="567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5"/>
    <w:next w:val="83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5"/>
    <w:next w:val="83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5"/>
    <w:next w:val="83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5"/>
    <w:next w:val="835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5"/>
    <w:next w:val="835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5"/>
    <w:next w:val="835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5"/>
    <w:next w:val="835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5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5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default="1">
    <w:name w:val="Normal"/>
    <w:next w:val="835"/>
    <w:link w:val="835"/>
    <w:pPr>
      <w:ind w:left="680" w:right="0" w:hanging="680"/>
      <w:widowControl w:val="off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836">
    <w:name w:val="Заголовок 1"/>
    <w:basedOn w:val="835"/>
    <w:next w:val="861"/>
    <w:link w:val="835"/>
    <w:pPr>
      <w:numPr>
        <w:ilvl w:val="0"/>
        <w:numId w:val="1"/>
      </w:numPr>
      <w:ind w:left="0" w:right="0" w:firstLine="0"/>
      <w:spacing w:before="280" w:after="280"/>
      <w:widowControl/>
      <w:outlineLvl w:val="0"/>
    </w:pPr>
    <w:rPr>
      <w:b/>
      <w:bCs/>
      <w:sz w:val="48"/>
      <w:szCs w:val="48"/>
    </w:rPr>
  </w:style>
  <w:style w:type="character" w:styleId="837">
    <w:name w:val="WW8Num1z0"/>
    <w:next w:val="837"/>
  </w:style>
  <w:style w:type="character" w:styleId="838">
    <w:name w:val="WW8Num1z1"/>
    <w:next w:val="838"/>
  </w:style>
  <w:style w:type="character" w:styleId="839">
    <w:name w:val="WW8Num1z2"/>
    <w:next w:val="839"/>
    <w:link w:val="835"/>
  </w:style>
  <w:style w:type="character" w:styleId="840">
    <w:name w:val="WW8Num1z3"/>
    <w:next w:val="840"/>
    <w:link w:val="835"/>
  </w:style>
  <w:style w:type="character" w:styleId="841">
    <w:name w:val="WW8Num1z4"/>
    <w:next w:val="841"/>
    <w:link w:val="835"/>
  </w:style>
  <w:style w:type="character" w:styleId="842">
    <w:name w:val="WW8Num1z5"/>
    <w:next w:val="842"/>
    <w:link w:val="835"/>
  </w:style>
  <w:style w:type="character" w:styleId="843">
    <w:name w:val="WW8Num1z6"/>
    <w:next w:val="843"/>
  </w:style>
  <w:style w:type="character" w:styleId="844">
    <w:name w:val="WW8Num1z7"/>
    <w:next w:val="844"/>
    <w:link w:val="835"/>
  </w:style>
  <w:style w:type="character" w:styleId="845">
    <w:name w:val="WW8Num1z8"/>
    <w:next w:val="845"/>
    <w:link w:val="835"/>
  </w:style>
  <w:style w:type="character" w:styleId="846">
    <w:name w:val="Основной шрифт абзаца"/>
    <w:next w:val="846"/>
    <w:link w:val="835"/>
  </w:style>
  <w:style w:type="character" w:styleId="847">
    <w:name w:val="WW8Num2z0"/>
    <w:next w:val="847"/>
    <w:rPr>
      <w:sz w:val="28"/>
      <w:szCs w:val="28"/>
    </w:rPr>
  </w:style>
  <w:style w:type="character" w:styleId="848">
    <w:name w:val="WW8Num2z1"/>
    <w:next w:val="848"/>
    <w:link w:val="835"/>
  </w:style>
  <w:style w:type="character" w:styleId="849">
    <w:name w:val="WW8Num2z2"/>
    <w:next w:val="849"/>
    <w:link w:val="835"/>
  </w:style>
  <w:style w:type="character" w:styleId="850">
    <w:name w:val="WW8Num2z3"/>
    <w:next w:val="850"/>
    <w:link w:val="835"/>
  </w:style>
  <w:style w:type="character" w:styleId="851">
    <w:name w:val="WW8Num2z4"/>
    <w:next w:val="851"/>
    <w:link w:val="835"/>
  </w:style>
  <w:style w:type="character" w:styleId="852">
    <w:name w:val="WW8Num2z5"/>
    <w:next w:val="852"/>
    <w:link w:val="835"/>
  </w:style>
  <w:style w:type="character" w:styleId="853">
    <w:name w:val="WW8Num2z6"/>
    <w:next w:val="853"/>
    <w:link w:val="835"/>
  </w:style>
  <w:style w:type="character" w:styleId="854">
    <w:name w:val="WW8Num2z7"/>
    <w:next w:val="854"/>
    <w:link w:val="835"/>
  </w:style>
  <w:style w:type="character" w:styleId="855">
    <w:name w:val="WW8Num2z8"/>
    <w:next w:val="855"/>
    <w:link w:val="835"/>
  </w:style>
  <w:style w:type="character" w:styleId="856">
    <w:name w:val="Основной шрифт абзаца1"/>
    <w:next w:val="856"/>
    <w:link w:val="835"/>
  </w:style>
  <w:style w:type="character" w:styleId="857">
    <w:name w:val="Интернет-ссылка"/>
    <w:next w:val="857"/>
    <w:link w:val="835"/>
    <w:rPr>
      <w:color w:val="0000ff"/>
      <w:u w:val="single"/>
    </w:rPr>
  </w:style>
  <w:style w:type="character" w:styleId="858">
    <w:name w:val="Основной текст Знак"/>
    <w:next w:val="858"/>
    <w:rPr>
      <w:sz w:val="24"/>
      <w:szCs w:val="24"/>
      <w:lang w:val="ru-RU" w:bidi="ar-SA"/>
    </w:rPr>
  </w:style>
  <w:style w:type="character" w:styleId="859">
    <w:name w:val="Заголовок 1 Знак"/>
    <w:next w:val="859"/>
    <w:link w:val="835"/>
    <w:rPr>
      <w:b/>
      <w:bCs/>
      <w:sz w:val="48"/>
      <w:szCs w:val="48"/>
      <w:lang w:val="ru-RU" w:bidi="ar-SA"/>
    </w:rPr>
  </w:style>
  <w:style w:type="paragraph" w:styleId="860">
    <w:name w:val="Заголовок"/>
    <w:basedOn w:val="835"/>
    <w:next w:val="861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61">
    <w:name w:val="Основной текст"/>
    <w:basedOn w:val="835"/>
    <w:next w:val="861"/>
    <w:link w:val="835"/>
    <w:pPr>
      <w:ind w:left="0" w:right="0" w:firstLine="0"/>
      <w:spacing w:before="0" w:after="120"/>
      <w:widowControl/>
    </w:pPr>
    <w:rPr>
      <w:sz w:val="24"/>
      <w:szCs w:val="24"/>
    </w:rPr>
  </w:style>
  <w:style w:type="paragraph" w:styleId="862">
    <w:name w:val="Список"/>
    <w:basedOn w:val="861"/>
    <w:next w:val="862"/>
    <w:link w:val="835"/>
    <w:rPr>
      <w:rFonts w:cs="Mangal"/>
    </w:rPr>
  </w:style>
  <w:style w:type="paragraph" w:styleId="863">
    <w:name w:val="Название"/>
    <w:basedOn w:val="835"/>
    <w:next w:val="863"/>
    <w:link w:val="8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4">
    <w:name w:val="Указатель"/>
    <w:basedOn w:val="835"/>
    <w:next w:val="864"/>
    <w:link w:val="835"/>
    <w:pPr>
      <w:suppressLineNumbers/>
    </w:pPr>
    <w:rPr>
      <w:rFonts w:cs="Mangal"/>
    </w:rPr>
  </w:style>
  <w:style w:type="paragraph" w:styleId="865">
    <w:name w:val="Название объекта"/>
    <w:basedOn w:val="835"/>
    <w:next w:val="865"/>
    <w:link w:val="8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6">
    <w:name w:val="Указатель1"/>
    <w:basedOn w:val="835"/>
    <w:next w:val="866"/>
    <w:link w:val="835"/>
    <w:pPr>
      <w:suppressLineNumbers/>
    </w:pPr>
    <w:rPr>
      <w:rFonts w:cs="Mangal"/>
    </w:rPr>
  </w:style>
  <w:style w:type="paragraph" w:styleId="867">
    <w:name w:val="Знак"/>
    <w:basedOn w:val="835"/>
    <w:next w:val="867"/>
    <w:link w:val="835"/>
    <w:pPr>
      <w:ind w:left="0" w:right="0" w:firstLine="0"/>
      <w:spacing w:before="0" w:after="160" w:line="240" w:lineRule="exact"/>
      <w:widowControl/>
    </w:pPr>
    <w:rPr>
      <w:rFonts w:ascii="Verdana" w:hAnsi="Verdana" w:cs="Verdana"/>
      <w:sz w:val="24"/>
      <w:szCs w:val="24"/>
      <w:lang w:val="en-US"/>
    </w:rPr>
  </w:style>
  <w:style w:type="paragraph" w:styleId="868">
    <w:name w:val="ConsPlusNonformat"/>
    <w:next w:val="868"/>
    <w:link w:val="835"/>
    <w:pPr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69">
    <w:name w:val="ConsNonformat"/>
    <w:next w:val="869"/>
    <w:link w:val="835"/>
    <w:pPr>
      <w:ind w:left="0" w:right="19772" w:firstLine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70">
    <w:name w:val="Основной текст 21"/>
    <w:basedOn w:val="835"/>
    <w:next w:val="870"/>
    <w:link w:val="835"/>
    <w:pPr>
      <w:spacing w:before="0" w:after="120" w:line="480" w:lineRule="auto"/>
    </w:pPr>
  </w:style>
  <w:style w:type="paragraph" w:styleId="871">
    <w:name w:val=" Знак Знак Знак Знак"/>
    <w:basedOn w:val="835"/>
    <w:next w:val="871"/>
    <w:link w:val="835"/>
    <w:pPr>
      <w:ind w:left="0" w:right="0" w:firstLine="0"/>
      <w:spacing w:before="0" w:after="160" w:line="240" w:lineRule="exact"/>
      <w:widowControl/>
    </w:pPr>
    <w:rPr>
      <w:rFonts w:ascii="Verdana" w:hAnsi="Verdana" w:cs="Verdana"/>
      <w:sz w:val="24"/>
      <w:szCs w:val="24"/>
      <w:lang w:val="en-US"/>
    </w:rPr>
  </w:style>
  <w:style w:type="paragraph" w:styleId="872">
    <w:name w:val="ConsPlusNormal"/>
    <w:next w:val="872"/>
    <w:link w:val="835"/>
    <w:pPr>
      <w:ind w:left="0" w:right="0" w:firstLine="72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3">
    <w:name w:val="Normal1"/>
    <w:next w:val="873"/>
    <w:link w:val="835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4">
    <w:name w:val="Текст выноски"/>
    <w:basedOn w:val="835"/>
    <w:next w:val="874"/>
    <w:link w:val="835"/>
    <w:rPr>
      <w:rFonts w:ascii="Tahoma" w:hAnsi="Tahoma" w:cs="Tahoma"/>
      <w:sz w:val="16"/>
      <w:szCs w:val="16"/>
    </w:rPr>
  </w:style>
  <w:style w:type="paragraph" w:styleId="875">
    <w:name w:val="ConsPlusTitle"/>
    <w:next w:val="875"/>
    <w:link w:val="835"/>
    <w:pPr>
      <w:widowControl w:val="off"/>
    </w:pPr>
    <w:rPr>
      <w:rFonts w:ascii="Arial" w:hAnsi="Arial" w:eastAsia="Times New Roman" w:cs="Arial"/>
      <w:b/>
      <w:bCs/>
      <w:color w:val="auto"/>
      <w:sz w:val="20"/>
      <w:szCs w:val="20"/>
      <w:lang w:val="ru-RU" w:eastAsia="zh-CN" w:bidi="ar-SA"/>
    </w:rPr>
  </w:style>
  <w:style w:type="paragraph" w:styleId="876">
    <w:name w:val="Основной текст с отступом"/>
    <w:basedOn w:val="835"/>
    <w:next w:val="876"/>
    <w:link w:val="835"/>
    <w:pPr>
      <w:ind w:left="283" w:right="0" w:firstLine="0"/>
      <w:spacing w:before="0" w:after="120"/>
      <w:widowControl/>
    </w:pPr>
    <w:rPr>
      <w:sz w:val="24"/>
      <w:szCs w:val="24"/>
    </w:rPr>
  </w:style>
  <w:style w:type="paragraph" w:styleId="877">
    <w:name w:val="Продолжение списка 21"/>
    <w:basedOn w:val="835"/>
    <w:next w:val="877"/>
    <w:link w:val="835"/>
    <w:pPr>
      <w:ind w:left="566" w:right="0" w:firstLine="0"/>
      <w:spacing w:before="0" w:after="120"/>
      <w:widowControl/>
    </w:pPr>
    <w:rPr>
      <w:sz w:val="20"/>
      <w:szCs w:val="20"/>
    </w:rPr>
  </w:style>
  <w:style w:type="paragraph" w:styleId="878">
    <w:name w:val="Содержимое таблицы"/>
    <w:basedOn w:val="835"/>
    <w:next w:val="878"/>
    <w:link w:val="835"/>
    <w:pPr>
      <w:suppressLineNumbers/>
    </w:pPr>
  </w:style>
  <w:style w:type="paragraph" w:styleId="879">
    <w:name w:val="Заголовок таблицы"/>
    <w:basedOn w:val="878"/>
    <w:next w:val="879"/>
    <w:link w:val="835"/>
    <w:pPr>
      <w:jc w:val="center"/>
      <w:suppressLineNumbers/>
    </w:pPr>
    <w:rPr>
      <w:b/>
      <w:bCs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Гладышев</dc:creator>
  <cp:revision>13</cp:revision>
  <dcterms:created xsi:type="dcterms:W3CDTF">1995-11-21T14:41:00Z</dcterms:created>
  <dcterms:modified xsi:type="dcterms:W3CDTF">2025-02-24T06:22:29Z</dcterms:modified>
</cp:coreProperties>
</file>