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ПРОТОКОЛ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заседания комиссии по приватизации</w:t>
      </w:r>
      <w:r>
        <w:rPr>
          <w:sz w:val="26"/>
          <w:szCs w:val="26"/>
        </w:rPr>
        <w:t xml:space="preserve"> об итогах продажи муниципального имущества посредством публичного предложения в электронной форме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</w:t>
      </w:r>
      <w:r>
        <w:rPr>
          <w:sz w:val="26"/>
          <w:szCs w:val="26"/>
          <w:lang w:val="en-US"/>
        </w:rPr>
        <w:t xml:space="preserve">2</w:t>
      </w:r>
      <w:r>
        <w:rPr>
          <w:sz w:val="26"/>
          <w:szCs w:val="26"/>
          <w:lang w:val="ru-RU"/>
        </w:rPr>
        <w:t xml:space="preserve">5</w:t>
      </w:r>
      <w:r>
        <w:rPr>
          <w:sz w:val="26"/>
          <w:szCs w:val="26"/>
        </w:rPr>
        <w:t xml:space="preserve">» февраля</w:t>
      </w:r>
      <w:r>
        <w:rPr>
          <w:sz w:val="26"/>
          <w:szCs w:val="26"/>
        </w:rPr>
        <w:t xml:space="preserve"> 2025 г.                                                                                                              № 3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28"/>
        <w:gridCol w:w="5892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 заседания комиссии: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92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Белгородская обл., п. Ровеньки, ул.Ленина,50, зал заседаний, 1 этаж.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92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 начала заседания комиссии: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92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14:00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35"/>
        <w:ind w:left="0" w:right="0" w:firstLine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71"/>
        <w:gridCol w:w="243"/>
        <w:gridCol w:w="7166"/>
      </w:tblGrid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center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комиссии: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27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9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Андриевский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Геннадий Валерьевич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управления экономического и стратегического развития администрации района (председатель комиссии)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9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Гребеник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Алла Петровна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имущественных правоотношений администрации Ровеньского района (заместитель председателя комиссии)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0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59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Мандрыгина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Милана Раисовна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отдела имущественных правоотношений администрации Ровеньского района (секретарь комиссии)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4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Гришко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Тамара Михайловна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земельных правоотношений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Ряднова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Алла Николаевна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муниципальных закупок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Ряднова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Елена Ивановна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МКУ «Центр бухгалтерского учета Ровеньского района»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27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Соловьёва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Алина Александровна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правового обеспечения, муниципальной службы и кадров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8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Морковская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Алла Ивановна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доходов управления финансов и бюджетной политики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Ковалева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Марина Александровна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отдела имущественных правоотношений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68"/>
        <w:gridCol w:w="239"/>
        <w:gridCol w:w="48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членов комиссии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Присутствовали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Отсутствовали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35"/>
        <w:ind w:left="0" w:right="0"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Комиссия правомочна.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Повестка заседания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  <w:r>
        <w:rPr>
          <w:b/>
          <w:sz w:val="26"/>
          <w:szCs w:val="26"/>
          <w:u w:val="single"/>
        </w:rPr>
      </w:r>
      <w:r>
        <w:rPr>
          <w:b/>
          <w:sz w:val="26"/>
          <w:szCs w:val="26"/>
          <w:u w:val="single"/>
        </w:rPr>
      </w:r>
    </w:p>
    <w:p>
      <w:pPr>
        <w:pStyle w:val="835"/>
        <w:ind w:left="0" w:right="0" w:firstLine="709"/>
        <w:jc w:val="both"/>
        <w:rPr>
          <w:sz w:val="26"/>
          <w:szCs w:val="26"/>
          <w:highlight w:val="none"/>
        </w:rPr>
      </w:pPr>
      <w:r>
        <w:rPr>
          <w:bCs/>
          <w:sz w:val="26"/>
          <w:szCs w:val="26"/>
        </w:rPr>
        <w:t xml:space="preserve">Подведение итогов продажи муниципального имущества посредством публичного предложения в электронной форме.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35"/>
        <w:ind w:left="0" w:right="0" w:firstLine="708"/>
        <w:jc w:val="both"/>
        <w:tabs>
          <w:tab w:val="left" w:pos="4500" w:leader="none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Сведения о продавце имущества:</w:t>
      </w:r>
      <w:r>
        <w:rPr>
          <w:b w:val="0"/>
          <w:bCs w:val="0"/>
          <w:sz w:val="26"/>
          <w:szCs w:val="26"/>
        </w:rPr>
        <w:t xml:space="preserve"> Администрация муниципального района «Ровеньский район» Белгородской области, 309740, Белгородская обл., п.Ровеньки, ул.Ленина,50.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720"/>
        <w:jc w:val="both"/>
        <w:tabs>
          <w:tab w:val="left" w:pos="450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Наименование и характеристика имущества: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0"/>
        <w:jc w:val="both"/>
        <w:spacing w:before="0" w:after="0"/>
        <w:widowControl w:val="off"/>
        <w:tabs>
          <w:tab w:val="left" w:pos="851" w:leader="none"/>
        </w:tabs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Лот №1 </w:t>
      </w:r>
      <w:r>
        <w:rPr>
          <w:rFonts w:cs="Times New Roman"/>
          <w:b w:val="0"/>
          <w:bCs w:val="0"/>
          <w:color w:val="000000"/>
          <w:spacing w:val="-2"/>
          <w:sz w:val="26"/>
          <w:szCs w:val="26"/>
          <w:lang w:val="ru-RU"/>
        </w:rPr>
        <w:t xml:space="preserve"> -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автобус марки КАВЗ модель ТС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4238-02, 2009 года изготовления, идентификационный номер (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VIN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)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Z7N423802900010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77, модель, №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6ISBe 210 6951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1971, шасси (рама) № отсутствует, кузов (кабина, прицеп) №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Z7N423802900010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77, цвет кузова (кабины, прицепа) белый, мощность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210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 л.с., рабочий объем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6700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 куб.см, тип двигателя дизельный, экологический класс третий, разрешенная максимальная масса 12250 кг, масса без нагрузки 8435 кг, паспорт транспортного средства 45 МУ 805752 выдан ООО «КАВЗ» г. Курган, ул. Автозаводская, 5 дата выдачи 30.09.2009г. 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(не на ходу, отсутствует аккумуляторная батарея и стартер, а также неисправно электрооборудование автобуса)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-2"/>
          <w:sz w:val="27"/>
          <w:szCs w:val="27"/>
          <w:lang w:val="ru-RU"/>
        </w:rPr>
        <w:t xml:space="preserve">.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</w:p>
    <w:p>
      <w:pPr>
        <w:pStyle w:val="835"/>
        <w:ind w:left="0" w:right="0" w:firstLine="680"/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В продаже посредством публичного предложения в электронной форме приняли участие следующие участники: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709"/>
        <w:jc w:val="both"/>
        <w:rPr>
          <w:sz w:val="27"/>
          <w:szCs w:val="27"/>
          <w:highlight w:val="none"/>
        </w:rPr>
      </w:pPr>
      <w:r>
        <w:rPr>
          <w:sz w:val="26"/>
          <w:szCs w:val="26"/>
        </w:rPr>
      </w: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tbl>
      <w:tblPr>
        <w:tblW w:w="0" w:type="auto"/>
        <w:tblInd w:w="-11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36"/>
        <w:gridCol w:w="2650"/>
        <w:gridCol w:w="4073"/>
        <w:gridCol w:w="2541"/>
      </w:tblGrid>
      <w:tr>
        <w:tblPrEx/>
        <w:trPr>
          <w:trHeight w:val="8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заявки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5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Ф.И.О.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претендента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3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Юридический (почтовый) адрес претендента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Дата и время регистрации заявки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8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7998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5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Молчанов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Вячеслав Игоревич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3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308012, Белгородская область, г.Белгород, ул.Костюкова, д.59, кв.44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17.02.2025 23:27:04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8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6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2658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50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Султанов Рамиль Рашидович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3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423575, Республика Татарстан, г.Нижнекамск, ул.Тихая Аллея, д.9, кв.25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19.02.2025 16:54:30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left="0" w:right="0" w:firstLine="0"/>
        <w:jc w:val="both"/>
        <w:spacing w:before="0" w:after="0"/>
        <w:widowControl w:val="off"/>
        <w:tabs>
          <w:tab w:val="left" w:pos="851" w:leader="none"/>
        </w:tabs>
        <w:rPr>
          <w:b/>
          <w:bCs/>
          <w:sz w:val="26"/>
          <w:szCs w:val="26"/>
          <w:highlight w:val="none"/>
        </w:rPr>
      </w:pP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  <w:lang w:val="ru-RU"/>
        </w:rPr>
        <w:t xml:space="preserve">             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pStyle w:val="835"/>
        <w:ind w:left="0" w:firstLine="0"/>
        <w:jc w:val="both"/>
        <w:tabs>
          <w:tab w:val="left" w:pos="0" w:leader="none"/>
        </w:tabs>
        <w:rPr>
          <w:color w:val="ce181e"/>
        </w:rPr>
      </w:pPr>
      <w:r>
        <w:rPr>
          <w:b/>
          <w:bCs/>
          <w:sz w:val="26"/>
          <w:szCs w:val="26"/>
          <w:highlight w:val="none"/>
        </w:rPr>
        <w:t xml:space="preserve">         </w:t>
      </w:r>
      <w:r>
        <w:rPr>
          <w:b/>
          <w:bCs/>
          <w:sz w:val="26"/>
          <w:szCs w:val="26"/>
          <w:highlight w:val="none"/>
        </w:rPr>
        <w:t xml:space="preserve"> </w:t>
      </w:r>
      <w:r>
        <w:rPr>
          <w:color w:val="000000"/>
          <w:sz w:val="26"/>
          <w:szCs w:val="26"/>
        </w:rPr>
        <w:t xml:space="preserve">Величина повышения цены «шаг аукциона» в случае, предусмотренном Федеральным законом от 21 декабря 2001 года №178-ФЗ «О приватизации государственного и муниципального имущества» составляет:</w:t>
      </w:r>
      <w:r>
        <w:rPr>
          <w:color w:val="ce181e"/>
          <w:sz w:val="26"/>
          <w:szCs w:val="26"/>
        </w:rPr>
      </w:r>
      <w:r>
        <w:rPr>
          <w:color w:val="ce181e"/>
        </w:rPr>
      </w:r>
    </w:p>
    <w:p>
      <w:pPr>
        <w:pStyle w:val="835"/>
        <w:ind w:left="0" w:right="0" w:firstLine="709"/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color w:val="000000"/>
          <w:sz w:val="26"/>
          <w:szCs w:val="26"/>
        </w:rPr>
        <w:t xml:space="preserve">Лота №1 — 8 472 (восемь тысяч четыреста семьдесят два) рубля 00 копеек; и не изменяется в течение всей процедуры продажи имущества посредством публичного предложения.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  <w:highlight w:val="none"/>
        </w:rPr>
        <w:t xml:space="preserve">Количество шагов - 0.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35"/>
        <w:ind w:left="0" w:firstLine="0"/>
        <w:jc w:val="both"/>
        <w:tabs>
          <w:tab w:val="left" w:pos="0" w:leader="none"/>
        </w:tabs>
        <w:rPr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6"/>
          <w:szCs w:val="26"/>
        </w:rPr>
        <w:t xml:space="preserve">Величина снижения цены первоначального предложения «шаг понижения» составляет:</w:t>
      </w:r>
      <w:r>
        <w:rPr>
          <w:color w:val="000000"/>
          <w:sz w:val="26"/>
          <w:szCs w:val="26"/>
        </w:rPr>
      </w:r>
      <w:r>
        <w:rPr>
          <w:color w:val="000000"/>
        </w:rPr>
      </w:r>
    </w:p>
    <w:p>
      <w:pPr>
        <w:ind w:left="0" w:right="0" w:firstLine="709"/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color w:val="000000"/>
          <w:sz w:val="26"/>
          <w:szCs w:val="26"/>
        </w:rPr>
        <w:t xml:space="preserve">Лот №1 — 16 944 (шестнадцать тысяч девятьсот сорок четыре) рубля 00 копеек и не изменяется в течение всей процедуры продажи муниципального имущества посредством публичного предложения.</w:t>
      </w:r>
      <w:r>
        <w:rPr>
          <w:sz w:val="26"/>
          <w:szCs w:val="26"/>
          <w:highlight w:val="none"/>
        </w:rPr>
        <w:t xml:space="preserve"> </w:t>
      </w:r>
      <w:r>
        <w:rPr>
          <w:color w:val="000000"/>
          <w:sz w:val="26"/>
          <w:szCs w:val="26"/>
          <w:highlight w:val="none"/>
        </w:rPr>
        <w:t xml:space="preserve">Количество шагов - 1 (один).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35"/>
        <w:ind w:left="0" w:firstLine="0"/>
        <w:jc w:val="both"/>
        <w:tabs>
          <w:tab w:val="left" w:pos="0" w:leader="none"/>
        </w:tabs>
        <w:rPr>
          <w:color w:val="ce181e"/>
        </w:rPr>
      </w:pPr>
      <w:r>
        <w:rPr>
          <w:b/>
          <w:bCs/>
          <w:sz w:val="26"/>
          <w:szCs w:val="26"/>
          <w:highlight w:val="none"/>
        </w:rPr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  <w:tab/>
      </w:r>
      <w:r>
        <w:rPr>
          <w:color w:val="000000"/>
          <w:sz w:val="26"/>
          <w:szCs w:val="26"/>
        </w:rPr>
        <w:t xml:space="preserve">Минимальная цена предложения, по которой может быть продано муниципальное имущество (цена отсечения):</w:t>
      </w:r>
      <w:r>
        <w:rPr>
          <w:color w:val="ce181e"/>
          <w:sz w:val="26"/>
          <w:szCs w:val="26"/>
        </w:rPr>
      </w:r>
      <w:r>
        <w:rPr>
          <w:color w:val="ce181e"/>
        </w:rPr>
      </w:r>
    </w:p>
    <w:p>
      <w:pPr>
        <w:pStyle w:val="835"/>
        <w:ind w:left="0" w:firstLine="709"/>
        <w:jc w:val="both"/>
        <w:tabs>
          <w:tab w:val="left" w:pos="0" w:leader="none"/>
        </w:tabs>
        <w:rPr>
          <w:color w:val="000000"/>
          <w:spacing w:val="-2"/>
          <w:sz w:val="26"/>
          <w:szCs w:val="26"/>
          <w:highlight w:val="none"/>
        </w:rPr>
      </w:pPr>
      <w:r>
        <w:rPr>
          <w:sz w:val="26"/>
          <w:szCs w:val="26"/>
        </w:rPr>
      </w:r>
      <w:bookmarkStart w:id="0" w:name="undefined"/>
      <w:r>
        <w:rPr>
          <w:color w:val="000000"/>
          <w:spacing w:val="-2"/>
          <w:sz w:val="26"/>
          <w:szCs w:val="26"/>
        </w:rPr>
        <w:t xml:space="preserve">Лота №1 — 84 720 (восемьдесят четыре тысячи семьсот двадцать) рублей 00 копеек.</w:t>
      </w:r>
      <w:bookmarkEnd w:id="0"/>
      <w:r>
        <w:rPr>
          <w:sz w:val="26"/>
          <w:szCs w:val="26"/>
        </w:rPr>
      </w:r>
      <w:r>
        <w:rPr>
          <w:color w:val="000000"/>
          <w:spacing w:val="-2"/>
          <w:sz w:val="26"/>
          <w:szCs w:val="26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 При продаже посредством публичного предложения осуществляется последовательное снижение цены первоначального предложения на "шаг понижения" до цены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отсечения.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left="0" w:right="0" w:firstLine="540"/>
        <w:jc w:val="both"/>
        <w:spacing w:before="0" w:after="0" w:line="288" w:lineRule="atLeast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Право приобретения государственного или муниципального имущества принадлежит участнику продажи посредством публичного предложения, который подтвердил цену первоначального предложения или цену предложения, сложившуюся на соответствующем "шаге понижения", пр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и отсутствии предложений других участников продажи посредством публичного предложения.</w:t>
        <w:br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0" w:firstLine="709"/>
        <w:jc w:val="both"/>
        <w:tabs>
          <w:tab w:val="left" w:pos="0" w:leader="none"/>
        </w:tabs>
        <w:rPr>
          <w:sz w:val="26"/>
          <w:szCs w:val="26"/>
        </w:rPr>
      </w:pPr>
      <w:r>
        <w:rPr>
          <w:color w:val="000000"/>
          <w:spacing w:val="-2"/>
          <w:sz w:val="26"/>
          <w:szCs w:val="26"/>
          <w:highlight w:val="none"/>
        </w:rPr>
      </w:r>
      <w:r>
        <w:rPr>
          <w:color w:val="000000"/>
          <w:spacing w:val="-2"/>
          <w:sz w:val="26"/>
          <w:szCs w:val="26"/>
          <w:highlight w:val="none"/>
        </w:rPr>
      </w:r>
      <w:r>
        <w:rPr>
          <w:sz w:val="26"/>
          <w:szCs w:val="26"/>
        </w:rPr>
      </w:r>
    </w:p>
    <w:p>
      <w:pPr>
        <w:ind w:left="0" w:right="0" w:firstLine="0"/>
        <w:jc w:val="both"/>
        <w:spacing w:before="0" w:after="0"/>
        <w:widowControl w:val="off"/>
        <w:tabs>
          <w:tab w:val="left" w:pos="851" w:leader="none"/>
        </w:tabs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pP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</w:p>
    <w:p>
      <w:pPr>
        <w:pStyle w:val="835"/>
        <w:ind w:left="0" w:right="0"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u w:val="none"/>
        </w:rPr>
        <w:t xml:space="preserve">По итогам продажи муниципального имущества посредством публичного предложения в электронной форме 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6"/>
          <w:szCs w:val="26"/>
          <w:u w:val="none"/>
        </w:rPr>
        <w:t xml:space="preserve">SBR012-2501230079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u w:val="none"/>
        </w:rPr>
        <w:t xml:space="preserve"> победителем признан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/>
          <w:sz w:val="26"/>
          <w:szCs w:val="26"/>
          <w:u w:val="none"/>
        </w:rPr>
        <w:t xml:space="preserve">Молчанов Вячеслав Игоревич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u w:val="none"/>
        </w:rPr>
        <w:t xml:space="preserve">, подтвердивший цену лота №1, сложившуюся на «шаге понижения» в размере</w:t>
      </w:r>
      <w:r>
        <w:rPr>
          <w:rFonts w:ascii="Times New Roman" w:hAnsi="Times New Roman" w:cs="Times New Roman"/>
          <w:b w:val="0"/>
          <w:bCs w:val="0"/>
          <w:color w:val="ce181e"/>
          <w:sz w:val="26"/>
          <w:szCs w:val="26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u w:val="none"/>
        </w:rPr>
        <w:t xml:space="preserve">84 720 </w:t>
      </w:r>
      <w:r>
        <w:rPr>
          <w:rFonts w:ascii="Times New Roman" w:hAnsi="Times New Roman" w:cs="Times New Roman"/>
          <w:b w:val="0"/>
          <w:bCs w:val="0"/>
          <w:color w:val="000000"/>
          <w:spacing w:val="-2"/>
          <w:sz w:val="26"/>
          <w:szCs w:val="26"/>
          <w:u w:val="none"/>
          <w:lang w:val="ru-RU"/>
        </w:rPr>
        <w:t xml:space="preserve">(</w:t>
      </w:r>
      <w:r>
        <w:rPr>
          <w:color w:val="000000"/>
          <w:spacing w:val="-2"/>
          <w:sz w:val="26"/>
          <w:szCs w:val="26"/>
        </w:rPr>
        <w:t xml:space="preserve">восемьдесят четыре тысячи семьсот двадцать</w:t>
      </w:r>
      <w:r>
        <w:rPr>
          <w:rFonts w:ascii="Times New Roman" w:hAnsi="Times New Roman" w:cs="Times New Roman"/>
          <w:b w:val="0"/>
          <w:bCs w:val="0"/>
          <w:color w:val="000000"/>
          <w:spacing w:val="-2"/>
          <w:sz w:val="26"/>
          <w:szCs w:val="26"/>
          <w:u w:val="none"/>
          <w:lang w:val="ru-RU"/>
        </w:rPr>
        <w:t xml:space="preserve">) рублей 00 копеек</w:t>
      </w:r>
      <w:r>
        <w:rPr>
          <w:sz w:val="26"/>
          <w:szCs w:val="26"/>
        </w:rPr>
        <w:t xml:space="preserve">, которая является (ценой отсечения).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  <w:r>
        <w:rPr>
          <w:b/>
          <w:sz w:val="26"/>
          <w:szCs w:val="26"/>
          <w:u w:val="single"/>
        </w:rPr>
      </w:r>
      <w:r>
        <w:rPr>
          <w:b/>
          <w:sz w:val="26"/>
          <w:szCs w:val="26"/>
          <w:u w:val="single"/>
        </w:rPr>
      </w:r>
    </w:p>
    <w:p>
      <w:pPr>
        <w:pStyle w:val="835"/>
        <w:ind w:left="680" w:right="0" w:firstLine="40"/>
        <w:jc w:val="both"/>
        <w:rPr>
          <w:b/>
          <w:bCs/>
          <w:sz w:val="26"/>
          <w:szCs w:val="26"/>
          <w:highlight w:val="none"/>
          <w:u w:val="single"/>
        </w:rPr>
      </w:pPr>
      <w:r>
        <w:rPr>
          <w:b/>
          <w:sz w:val="26"/>
          <w:szCs w:val="26"/>
          <w:u w:val="single"/>
        </w:rPr>
        <w:t xml:space="preserve">Решили:</w:t>
      </w:r>
      <w:r>
        <w:rPr>
          <w:b/>
          <w:bCs/>
          <w:sz w:val="26"/>
          <w:szCs w:val="26"/>
          <w:highlight w:val="none"/>
          <w:u w:val="single"/>
        </w:rPr>
      </w:r>
      <w:r>
        <w:rPr>
          <w:b/>
          <w:bCs/>
          <w:sz w:val="26"/>
          <w:szCs w:val="26"/>
          <w:highlight w:val="none"/>
          <w:u w:val="single"/>
        </w:rPr>
      </w:r>
    </w:p>
    <w:p>
      <w:pPr>
        <w:pStyle w:val="835"/>
        <w:ind w:left="0" w:right="0"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По Лоту №1 </w:t>
      </w:r>
      <w:r>
        <w:rPr>
          <w:b w:val="0"/>
          <w:bCs w:val="0"/>
          <w:sz w:val="26"/>
          <w:szCs w:val="26"/>
          <w:u w:val="none"/>
        </w:rPr>
        <w:t xml:space="preserve">в соответствии с пунктом 13 статьи 23 Федерального закона </w:t>
      </w:r>
      <w:r>
        <w:rPr>
          <w:b w:val="0"/>
          <w:bCs w:val="0"/>
          <w:sz w:val="26"/>
          <w:szCs w:val="26"/>
          <w:u w:val="none"/>
        </w:rPr>
        <w:t xml:space="preserve">от 21.12.2001 №178-ФЗ «О приватизации государственного и муниципального имущест</w:t>
      </w:r>
      <w:r>
        <w:rPr>
          <w:b w:val="0"/>
          <w:bCs w:val="0"/>
          <w:sz w:val="26"/>
          <w:szCs w:val="26"/>
          <w:u w:val="none"/>
        </w:rPr>
        <w:t xml:space="preserve">ва»</w:t>
      </w:r>
      <w:r>
        <w:rPr>
          <w:spacing w:val="-2"/>
          <w:sz w:val="26"/>
          <w:szCs w:val="26"/>
        </w:rPr>
        <w:t xml:space="preserve"> заключить договор с </w:t>
      </w:r>
      <w:r>
        <w:rPr>
          <w:b w:val="0"/>
          <w:bCs w:val="0"/>
          <w:sz w:val="26"/>
          <w:szCs w:val="26"/>
          <w:u w:val="none"/>
        </w:rPr>
        <w:t xml:space="preserve">победителем продажи посредством публичного предложения в электронной форме Молчановым Вячеславом Игоревичем по цене 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u w:val="none"/>
        </w:rPr>
        <w:t xml:space="preserve">84 720 </w:t>
      </w:r>
      <w:r>
        <w:rPr>
          <w:rFonts w:ascii="Times New Roman" w:hAnsi="Times New Roman" w:cs="Times New Roman"/>
          <w:b w:val="0"/>
          <w:bCs w:val="0"/>
          <w:color w:val="000000"/>
          <w:spacing w:val="-2"/>
          <w:sz w:val="26"/>
          <w:szCs w:val="26"/>
          <w:u w:val="none"/>
          <w:lang w:val="ru-RU"/>
        </w:rPr>
        <w:t xml:space="preserve">(</w:t>
      </w:r>
      <w:r>
        <w:rPr>
          <w:color w:val="000000"/>
          <w:spacing w:val="-2"/>
          <w:sz w:val="26"/>
          <w:szCs w:val="26"/>
        </w:rPr>
        <w:t xml:space="preserve">восемьдесят четыре тысячи семьсот двадцать</w:t>
      </w:r>
      <w:r>
        <w:rPr>
          <w:rFonts w:ascii="Times New Roman" w:hAnsi="Times New Roman" w:cs="Times New Roman"/>
          <w:b w:val="0"/>
          <w:bCs w:val="0"/>
          <w:color w:val="000000"/>
          <w:spacing w:val="-2"/>
          <w:sz w:val="26"/>
          <w:szCs w:val="26"/>
          <w:u w:val="none"/>
          <w:lang w:val="ru-RU"/>
        </w:rPr>
        <w:t xml:space="preserve">) рублей 00 копеек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u w:val="none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680" w:right="0" w:firstLine="0"/>
        <w:rPr>
          <w:sz w:val="26"/>
          <w:szCs w:val="26"/>
        </w:rPr>
      </w:pPr>
      <w:r>
        <w:rPr>
          <w:sz w:val="26"/>
          <w:szCs w:val="26"/>
        </w:rPr>
        <w:t xml:space="preserve">Какие будут вопросы? Замечания? Предложения? (Голосуют)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680" w:right="0" w:firstLine="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«За» - 9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680" w:right="0" w:firstLine="0"/>
        <w:rPr>
          <w:sz w:val="26"/>
          <w:szCs w:val="26"/>
        </w:rPr>
      </w:pPr>
      <w:r>
        <w:rPr>
          <w:sz w:val="26"/>
          <w:szCs w:val="26"/>
        </w:rPr>
        <w:t xml:space="preserve">«Против» - 0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680" w:right="0" w:firstLine="0"/>
        <w:jc w:val="both"/>
        <w:tabs>
          <w:tab w:val="left" w:pos="851" w:leader="none"/>
        </w:tabs>
        <w:rPr>
          <w:sz w:val="26"/>
          <w:szCs w:val="26"/>
        </w:rPr>
      </w:pPr>
      <w:r>
        <w:rPr>
          <w:b/>
          <w:spacing w:val="-2"/>
          <w:sz w:val="26"/>
          <w:szCs w:val="26"/>
          <w:u w:val="single"/>
        </w:rPr>
        <w:t xml:space="preserve">Принято единогласно.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0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9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</w:pPr>
            <w:r>
              <w:rPr>
                <w:b/>
                <w:sz w:val="28"/>
                <w:szCs w:val="28"/>
              </w:rPr>
              <w:t xml:space="preserve">П</w:t>
            </w:r>
            <w:r>
              <w:rPr>
                <w:b/>
                <w:sz w:val="28"/>
                <w:szCs w:val="28"/>
              </w:rPr>
              <w:t xml:space="preserve">редседател</w:t>
            </w:r>
            <w:r>
              <w:rPr>
                <w:b/>
                <w:sz w:val="28"/>
                <w:szCs w:val="28"/>
              </w:rPr>
              <w:t xml:space="preserve">ь</w:t>
            </w:r>
            <w:r>
              <w:rPr>
                <w:b/>
                <w:sz w:val="28"/>
                <w:szCs w:val="28"/>
              </w:rPr>
              <w:t xml:space="preserve"> комиссии                                                                </w:t>
            </w:r>
            <w:r>
              <w:rPr>
                <w:b/>
                <w:sz w:val="28"/>
                <w:szCs w:val="28"/>
              </w:rPr>
              <w:t xml:space="preserve">Г.В.Андриевский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</w:pPr>
            <w:r>
              <w:rPr>
                <w:b/>
                <w:sz w:val="28"/>
                <w:szCs w:val="28"/>
              </w:rPr>
              <w:t xml:space="preserve">Заместитель председателя комиссии                                               А.П.Гребеник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Члены комиссии: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комиссии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М.Р.Мандрыгина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А.И. Морковская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</w:pPr>
            <w:r/>
            <w:r/>
          </w:p>
        </w:tc>
      </w:tr>
      <w:tr>
        <w:tblPrEx/>
        <w:trPr>
          <w:trHeight w:val="37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jc w:val="right"/>
              <w:widowControl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Т.М. Гришко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righ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А.Н. Ряднова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righ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</w:pPr>
            <w:r>
              <w:rPr>
                <w:rFonts w:cs="Times New Roman"/>
                <w:b/>
                <w:sz w:val="28"/>
                <w:szCs w:val="28"/>
              </w:rPr>
              <w:t xml:space="preserve">М.А. Ковалёва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А.А. Соловьёва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Е.И.Ряднова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ind w:left="0" w:firstLine="0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567" w:right="850" w:bottom="567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5"/>
    <w:next w:val="835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5"/>
    <w:next w:val="835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5"/>
    <w:next w:val="835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5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5"/>
    <w:next w:val="835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5"/>
    <w:next w:val="835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5"/>
    <w:next w:val="835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5"/>
    <w:next w:val="835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5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5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5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5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5"/>
    <w:next w:val="835"/>
    <w:uiPriority w:val="99"/>
    <w:unhideWhenUsed/>
    <w:pPr>
      <w:spacing w:after="0" w:afterAutospacing="0"/>
    </w:pPr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5" w:default="1">
    <w:name w:val="Normal"/>
    <w:next w:val="835"/>
    <w:link w:val="835"/>
    <w:pPr>
      <w:ind w:left="680" w:right="0" w:hanging="680"/>
      <w:widowControl w:val="off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paragraph" w:styleId="836">
    <w:name w:val="Заголовок 1"/>
    <w:basedOn w:val="835"/>
    <w:next w:val="861"/>
    <w:link w:val="835"/>
    <w:pPr>
      <w:numPr>
        <w:ilvl w:val="0"/>
        <w:numId w:val="1"/>
      </w:numPr>
      <w:ind w:left="0" w:right="0" w:firstLine="0"/>
      <w:spacing w:before="280" w:after="280"/>
      <w:widowControl/>
      <w:outlineLvl w:val="0"/>
    </w:pPr>
    <w:rPr>
      <w:b/>
      <w:bCs/>
      <w:sz w:val="48"/>
      <w:szCs w:val="48"/>
    </w:rPr>
  </w:style>
  <w:style w:type="character" w:styleId="837">
    <w:name w:val="WW8Num1z0"/>
    <w:next w:val="837"/>
  </w:style>
  <w:style w:type="character" w:styleId="838">
    <w:name w:val="WW8Num1z1"/>
    <w:next w:val="838"/>
  </w:style>
  <w:style w:type="character" w:styleId="839">
    <w:name w:val="WW8Num1z2"/>
    <w:next w:val="839"/>
    <w:link w:val="835"/>
  </w:style>
  <w:style w:type="character" w:styleId="840">
    <w:name w:val="WW8Num1z3"/>
    <w:next w:val="840"/>
    <w:link w:val="835"/>
  </w:style>
  <w:style w:type="character" w:styleId="841">
    <w:name w:val="WW8Num1z4"/>
    <w:next w:val="841"/>
    <w:link w:val="835"/>
  </w:style>
  <w:style w:type="character" w:styleId="842">
    <w:name w:val="WW8Num1z5"/>
    <w:next w:val="842"/>
    <w:link w:val="835"/>
  </w:style>
  <w:style w:type="character" w:styleId="843">
    <w:name w:val="WW8Num1z6"/>
    <w:next w:val="843"/>
  </w:style>
  <w:style w:type="character" w:styleId="844">
    <w:name w:val="WW8Num1z7"/>
    <w:next w:val="844"/>
    <w:link w:val="835"/>
  </w:style>
  <w:style w:type="character" w:styleId="845">
    <w:name w:val="WW8Num1z8"/>
    <w:next w:val="845"/>
    <w:link w:val="835"/>
  </w:style>
  <w:style w:type="character" w:styleId="846">
    <w:name w:val="Основной шрифт абзаца"/>
    <w:next w:val="846"/>
    <w:link w:val="835"/>
  </w:style>
  <w:style w:type="character" w:styleId="847">
    <w:name w:val="WW8Num2z0"/>
    <w:next w:val="847"/>
    <w:rPr>
      <w:sz w:val="28"/>
      <w:szCs w:val="28"/>
    </w:rPr>
  </w:style>
  <w:style w:type="character" w:styleId="848">
    <w:name w:val="WW8Num2z1"/>
    <w:next w:val="848"/>
    <w:link w:val="835"/>
  </w:style>
  <w:style w:type="character" w:styleId="849">
    <w:name w:val="WW8Num2z2"/>
    <w:next w:val="849"/>
    <w:link w:val="835"/>
  </w:style>
  <w:style w:type="character" w:styleId="850">
    <w:name w:val="WW8Num2z3"/>
    <w:next w:val="850"/>
    <w:link w:val="835"/>
  </w:style>
  <w:style w:type="character" w:styleId="851">
    <w:name w:val="WW8Num2z4"/>
    <w:next w:val="851"/>
    <w:link w:val="835"/>
  </w:style>
  <w:style w:type="character" w:styleId="852">
    <w:name w:val="WW8Num2z5"/>
    <w:next w:val="852"/>
    <w:link w:val="835"/>
  </w:style>
  <w:style w:type="character" w:styleId="853">
    <w:name w:val="WW8Num2z6"/>
    <w:next w:val="853"/>
    <w:link w:val="835"/>
  </w:style>
  <w:style w:type="character" w:styleId="854">
    <w:name w:val="WW8Num2z7"/>
    <w:next w:val="854"/>
    <w:link w:val="835"/>
  </w:style>
  <w:style w:type="character" w:styleId="855">
    <w:name w:val="WW8Num2z8"/>
    <w:next w:val="855"/>
    <w:link w:val="835"/>
  </w:style>
  <w:style w:type="character" w:styleId="856">
    <w:name w:val="Основной шрифт абзаца1"/>
    <w:next w:val="856"/>
    <w:link w:val="835"/>
  </w:style>
  <w:style w:type="character" w:styleId="857">
    <w:name w:val="Интернет-ссылка"/>
    <w:next w:val="857"/>
    <w:link w:val="835"/>
    <w:rPr>
      <w:color w:val="0000ff"/>
      <w:u w:val="single"/>
    </w:rPr>
  </w:style>
  <w:style w:type="character" w:styleId="858">
    <w:name w:val="Основной текст Знак"/>
    <w:next w:val="858"/>
    <w:rPr>
      <w:sz w:val="24"/>
      <w:szCs w:val="24"/>
      <w:lang w:val="ru-RU" w:bidi="ar-SA"/>
    </w:rPr>
  </w:style>
  <w:style w:type="character" w:styleId="859">
    <w:name w:val="Заголовок 1 Знак"/>
    <w:next w:val="859"/>
    <w:link w:val="835"/>
    <w:rPr>
      <w:b/>
      <w:bCs/>
      <w:sz w:val="48"/>
      <w:szCs w:val="48"/>
      <w:lang w:val="ru-RU" w:bidi="ar-SA"/>
    </w:rPr>
  </w:style>
  <w:style w:type="paragraph" w:styleId="860">
    <w:name w:val="Заголовок"/>
    <w:basedOn w:val="835"/>
    <w:next w:val="861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61">
    <w:name w:val="Основной текст"/>
    <w:basedOn w:val="835"/>
    <w:next w:val="861"/>
    <w:link w:val="835"/>
    <w:pPr>
      <w:ind w:left="0" w:right="0" w:firstLine="0"/>
      <w:spacing w:before="0" w:after="120"/>
      <w:widowControl/>
    </w:pPr>
    <w:rPr>
      <w:sz w:val="24"/>
      <w:szCs w:val="24"/>
    </w:rPr>
  </w:style>
  <w:style w:type="paragraph" w:styleId="862">
    <w:name w:val="Список"/>
    <w:basedOn w:val="861"/>
    <w:next w:val="862"/>
    <w:link w:val="835"/>
    <w:rPr>
      <w:rFonts w:cs="Mangal"/>
    </w:rPr>
  </w:style>
  <w:style w:type="paragraph" w:styleId="863">
    <w:name w:val="Название"/>
    <w:basedOn w:val="835"/>
    <w:next w:val="863"/>
    <w:link w:val="83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64">
    <w:name w:val="Указатель"/>
    <w:basedOn w:val="835"/>
    <w:next w:val="864"/>
    <w:link w:val="835"/>
    <w:pPr>
      <w:suppressLineNumbers/>
    </w:pPr>
    <w:rPr>
      <w:rFonts w:cs="Mangal"/>
    </w:rPr>
  </w:style>
  <w:style w:type="paragraph" w:styleId="865">
    <w:name w:val="Название объекта"/>
    <w:basedOn w:val="835"/>
    <w:next w:val="865"/>
    <w:link w:val="83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66">
    <w:name w:val="Указатель1"/>
    <w:basedOn w:val="835"/>
    <w:next w:val="866"/>
    <w:link w:val="835"/>
    <w:pPr>
      <w:suppressLineNumbers/>
    </w:pPr>
    <w:rPr>
      <w:rFonts w:cs="Mangal"/>
    </w:rPr>
  </w:style>
  <w:style w:type="paragraph" w:styleId="867">
    <w:name w:val="Знак"/>
    <w:basedOn w:val="835"/>
    <w:next w:val="867"/>
    <w:link w:val="835"/>
    <w:pPr>
      <w:ind w:left="0" w:right="0" w:firstLine="0"/>
      <w:spacing w:before="0" w:after="160" w:line="240" w:lineRule="exact"/>
      <w:widowControl/>
    </w:pPr>
    <w:rPr>
      <w:rFonts w:ascii="Verdana" w:hAnsi="Verdana" w:cs="Verdana"/>
      <w:sz w:val="24"/>
      <w:szCs w:val="24"/>
      <w:lang w:val="en-US"/>
    </w:rPr>
  </w:style>
  <w:style w:type="paragraph" w:styleId="868">
    <w:name w:val="ConsPlusNonformat"/>
    <w:next w:val="868"/>
    <w:link w:val="835"/>
    <w:pPr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869">
    <w:name w:val="ConsNonformat"/>
    <w:next w:val="869"/>
    <w:link w:val="835"/>
    <w:pPr>
      <w:ind w:left="0" w:right="19772" w:firstLine="0"/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870">
    <w:name w:val="Основной текст 21"/>
    <w:basedOn w:val="835"/>
    <w:next w:val="870"/>
    <w:link w:val="835"/>
    <w:pPr>
      <w:spacing w:before="0" w:after="120" w:line="480" w:lineRule="auto"/>
    </w:pPr>
  </w:style>
  <w:style w:type="paragraph" w:styleId="871">
    <w:name w:val=" Знак Знак Знак Знак"/>
    <w:basedOn w:val="835"/>
    <w:next w:val="871"/>
    <w:link w:val="835"/>
    <w:pPr>
      <w:ind w:left="0" w:right="0" w:firstLine="0"/>
      <w:spacing w:before="0" w:after="160" w:line="240" w:lineRule="exact"/>
      <w:widowControl/>
    </w:pPr>
    <w:rPr>
      <w:rFonts w:ascii="Verdana" w:hAnsi="Verdana" w:cs="Verdana"/>
      <w:sz w:val="24"/>
      <w:szCs w:val="24"/>
      <w:lang w:val="en-US"/>
    </w:rPr>
  </w:style>
  <w:style w:type="paragraph" w:styleId="872">
    <w:name w:val="ConsPlusNormal"/>
    <w:next w:val="872"/>
    <w:link w:val="835"/>
    <w:pPr>
      <w:ind w:left="0" w:right="0" w:firstLine="720"/>
      <w:widowControl w:val="off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73">
    <w:name w:val="Normal1"/>
    <w:next w:val="873"/>
    <w:link w:val="835"/>
    <w:pPr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74">
    <w:name w:val="Текст выноски"/>
    <w:basedOn w:val="835"/>
    <w:next w:val="874"/>
    <w:link w:val="835"/>
    <w:rPr>
      <w:rFonts w:ascii="Tahoma" w:hAnsi="Tahoma" w:cs="Tahoma"/>
      <w:sz w:val="16"/>
      <w:szCs w:val="16"/>
    </w:rPr>
  </w:style>
  <w:style w:type="paragraph" w:styleId="875">
    <w:name w:val="ConsPlusTitle"/>
    <w:next w:val="875"/>
    <w:link w:val="835"/>
    <w:pPr>
      <w:widowControl w:val="off"/>
    </w:pPr>
    <w:rPr>
      <w:rFonts w:ascii="Arial" w:hAnsi="Arial" w:eastAsia="Times New Roman" w:cs="Arial"/>
      <w:b/>
      <w:bCs/>
      <w:color w:val="auto"/>
      <w:sz w:val="20"/>
      <w:szCs w:val="20"/>
      <w:lang w:val="ru-RU" w:eastAsia="zh-CN" w:bidi="ar-SA"/>
    </w:rPr>
  </w:style>
  <w:style w:type="paragraph" w:styleId="876">
    <w:name w:val="Основной текст с отступом"/>
    <w:basedOn w:val="835"/>
    <w:next w:val="876"/>
    <w:link w:val="835"/>
    <w:pPr>
      <w:ind w:left="283" w:right="0" w:firstLine="0"/>
      <w:spacing w:before="0" w:after="120"/>
      <w:widowControl/>
    </w:pPr>
    <w:rPr>
      <w:sz w:val="24"/>
      <w:szCs w:val="24"/>
    </w:rPr>
  </w:style>
  <w:style w:type="paragraph" w:styleId="877">
    <w:name w:val="Продолжение списка 21"/>
    <w:basedOn w:val="835"/>
    <w:next w:val="877"/>
    <w:link w:val="835"/>
    <w:pPr>
      <w:ind w:left="566" w:right="0" w:firstLine="0"/>
      <w:spacing w:before="0" w:after="120"/>
      <w:widowControl/>
    </w:pPr>
    <w:rPr>
      <w:sz w:val="20"/>
      <w:szCs w:val="20"/>
    </w:rPr>
  </w:style>
  <w:style w:type="paragraph" w:styleId="878">
    <w:name w:val="Содержимое таблицы"/>
    <w:basedOn w:val="835"/>
    <w:next w:val="878"/>
    <w:link w:val="835"/>
    <w:pPr>
      <w:suppressLineNumbers/>
    </w:pPr>
  </w:style>
  <w:style w:type="paragraph" w:styleId="879">
    <w:name w:val="Заголовок таблицы"/>
    <w:basedOn w:val="878"/>
    <w:next w:val="879"/>
    <w:link w:val="835"/>
    <w:pPr>
      <w:jc w:val="center"/>
      <w:suppressLineNumbers/>
    </w:pPr>
    <w:rPr>
      <w:b/>
      <w:bCs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Гладышев</dc:creator>
  <cp:revision>13</cp:revision>
  <dcterms:created xsi:type="dcterms:W3CDTF">1995-11-21T14:41:00Z</dcterms:created>
  <dcterms:modified xsi:type="dcterms:W3CDTF">2025-02-25T11:06:17Z</dcterms:modified>
</cp:coreProperties>
</file>