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pPr>
      <w:r>
        <w:rPr/>
        <w:t>Приложение №2</w:t>
      </w:r>
    </w:p>
    <w:p>
      <w:pPr>
        <w:pStyle w:val="Normal"/>
        <w:ind w:left="680" w:hanging="0"/>
        <w:jc w:val="right"/>
        <w:rPr/>
      </w:pPr>
      <w:r>
        <w:rPr/>
        <w:t>к протоколу заседания</w:t>
      </w:r>
    </w:p>
    <w:p>
      <w:pPr>
        <w:pStyle w:val="Normal"/>
        <w:ind w:left="680" w:hanging="0"/>
        <w:jc w:val="right"/>
        <w:rPr/>
      </w:pPr>
      <w:r>
        <w:rPr/>
        <w:t>комиссии по приватизации</w:t>
      </w:r>
    </w:p>
    <w:p>
      <w:pPr>
        <w:pStyle w:val="Normal"/>
        <w:ind w:left="680" w:hanging="0"/>
        <w:jc w:val="right"/>
        <w:rPr/>
      </w:pPr>
      <w:r>
        <w:rPr/>
        <w:t>от «28» июля 2023 г. №17</w:t>
      </w:r>
    </w:p>
    <w:p>
      <w:pPr>
        <w:pStyle w:val="Normal"/>
        <w:ind w:left="680" w:hanging="0"/>
        <w:jc w:val="right"/>
        <w:rPr/>
      </w:pPr>
      <w:r>
        <w:rPr/>
      </w:r>
    </w:p>
    <w:p>
      <w:pPr>
        <w:pStyle w:val="Normal"/>
        <w:jc w:val="center"/>
        <w:rPr>
          <w:b/>
          <w:b/>
        </w:rPr>
      </w:pPr>
      <w:r>
        <w:rPr>
          <w:b/>
        </w:rPr>
        <w:t>ИНФОРМАЦИОННОЕ СООБЩЕНИЕ</w:t>
      </w:r>
    </w:p>
    <w:p>
      <w:pPr>
        <w:pStyle w:val="Normal"/>
        <w:jc w:val="center"/>
        <w:rPr/>
      </w:pPr>
      <w:r>
        <w:rPr>
          <w:b/>
        </w:rPr>
        <w:t xml:space="preserve">о проведении продажи муниципального имущества </w:t>
      </w:r>
    </w:p>
    <w:p>
      <w:pPr>
        <w:pStyle w:val="Normal"/>
        <w:jc w:val="center"/>
        <w:rPr/>
      </w:pPr>
      <w:bookmarkStart w:id="0" w:name="__DdeLink__218_385081146"/>
      <w:r>
        <w:rPr>
          <w:b/>
        </w:rPr>
        <w:t xml:space="preserve"> </w:t>
      </w:r>
      <w:r>
        <w:rPr>
          <w:b/>
        </w:rPr>
        <w:t>посредством публичного предложения</w:t>
      </w:r>
      <w:bookmarkEnd w:id="0"/>
      <w:r>
        <w:rPr>
          <w:b/>
        </w:rPr>
        <w:t xml:space="preserve"> в электронной форме</w:t>
      </w:r>
    </w:p>
    <w:p>
      <w:pPr>
        <w:pStyle w:val="Normal"/>
        <w:jc w:val="center"/>
        <w:rPr>
          <w:b/>
          <w:b/>
        </w:rPr>
      </w:pPr>
      <w:r>
        <w:rPr>
          <w:b/>
        </w:rPr>
      </w:r>
    </w:p>
    <w:p>
      <w:pPr>
        <w:pStyle w:val="Normal"/>
        <w:ind w:left="0" w:firstLine="680"/>
        <w:jc w:val="both"/>
        <w:rPr/>
      </w:pPr>
      <w:r>
        <w:rPr>
          <w:sz w:val="28"/>
          <w:szCs w:val="28"/>
        </w:rPr>
        <w:t>Администрация Ровеньского района информирует о проведении продажи муниципального имущества Ровеньского района посредством публичного предложения в электронной форме</w:t>
      </w:r>
      <w:r>
        <w:rPr/>
        <w:t xml:space="preserve">,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 xml:space="preserve">постановление от              </w:t>
      </w:r>
      <w:r>
        <w:rPr>
          <w:rFonts w:cs="Times New Roman" w:ascii="Times New Roman" w:hAnsi="Times New Roman"/>
          <w:i w:val="false"/>
          <w:iCs w:val="false"/>
          <w:color w:val="000000"/>
          <w:sz w:val="28"/>
          <w:szCs w:val="28"/>
        </w:rPr>
        <w:t>31</w:t>
      </w:r>
      <w:r>
        <w:rPr>
          <w:rFonts w:cs="Times New Roman" w:ascii="Times New Roman" w:hAnsi="Times New Roman"/>
          <w:i w:val="false"/>
          <w:iCs w:val="false"/>
          <w:color w:val="000000"/>
          <w:sz w:val="28"/>
          <w:szCs w:val="28"/>
        </w:rPr>
        <w:t xml:space="preserve"> июля 2023 года № </w:t>
      </w:r>
      <w:r>
        <w:rPr>
          <w:rFonts w:cs="Times New Roman" w:ascii="Times New Roman" w:hAnsi="Times New Roman"/>
          <w:i w:val="false"/>
          <w:iCs w:val="false"/>
          <w:color w:val="000000"/>
          <w:sz w:val="28"/>
          <w:szCs w:val="28"/>
        </w:rPr>
        <w:t>385</w:t>
      </w:r>
      <w:r>
        <w:rPr>
          <w:rFonts w:cs="Times New Roman" w:ascii="Times New Roman" w:hAnsi="Times New Roman"/>
          <w:i w:val="false"/>
          <w:iCs w:val="false"/>
          <w:color w:val="000000"/>
          <w:sz w:val="28"/>
          <w:szCs w:val="28"/>
        </w:rPr>
        <w:t xml:space="preserve">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pPr>
      <w:r>
        <w:rPr>
          <w:b/>
        </w:rPr>
        <w:t>Наименование и характеристика имущества:</w:t>
      </w:r>
    </w:p>
    <w:p>
      <w:pPr>
        <w:pStyle w:val="Style18"/>
        <w:tabs>
          <w:tab w:val="left" w:pos="851" w:leader="none"/>
        </w:tabs>
        <w:spacing w:before="0" w:after="0"/>
        <w:jc w:val="both"/>
        <w:rPr/>
      </w:pPr>
      <w:r>
        <w:rPr>
          <w:rFonts w:cs="Times New Roman"/>
          <w:b w:val="false"/>
          <w:bCs w:val="false"/>
          <w:color w:val="000000"/>
          <w:spacing w:val="-2"/>
          <w:sz w:val="28"/>
          <w:szCs w:val="28"/>
          <w:lang w:val="ru-RU"/>
        </w:rPr>
        <w:tab/>
        <w:t xml:space="preserve">Лот №1 -  </w:t>
      </w:r>
      <w:r>
        <w:rPr>
          <w:rFonts w:cs="Times New Roman"/>
          <w:b w:val="false"/>
          <w:bCs w:val="false"/>
          <w:i w:val="false"/>
          <w:caps w:val="false"/>
          <w:smallCaps w:val="false"/>
          <w:color w:val="000000"/>
          <w:spacing w:val="-2"/>
          <w:sz w:val="28"/>
          <w:szCs w:val="28"/>
          <w:lang w:val="ru-RU"/>
        </w:rPr>
        <w:t xml:space="preserve">легковой автомобиль </w:t>
      </w:r>
      <w:r>
        <w:rPr>
          <w:rFonts w:cs="Times New Roman"/>
          <w:b w:val="false"/>
          <w:bCs w:val="false"/>
          <w:i w:val="false"/>
          <w:caps w:val="false"/>
          <w:smallCaps w:val="false"/>
          <w:color w:val="000000"/>
          <w:spacing w:val="-2"/>
          <w:sz w:val="28"/>
          <w:szCs w:val="28"/>
          <w:lang w:val="en-US"/>
        </w:rPr>
        <w:t xml:space="preserve">LADA  </w:t>
      </w:r>
      <w:r>
        <w:rPr>
          <w:rFonts w:cs="Times New Roman"/>
          <w:b w:val="false"/>
          <w:bCs w:val="false"/>
          <w:i w:val="false"/>
          <w:caps w:val="false"/>
          <w:smallCaps w:val="false"/>
          <w:color w:val="000000"/>
          <w:spacing w:val="-2"/>
          <w:sz w:val="28"/>
          <w:szCs w:val="28"/>
          <w:lang w:val="ru-RU"/>
        </w:rPr>
        <w:t xml:space="preserve">2105, марки, модель ТС </w:t>
      </w:r>
      <w:r>
        <w:rPr>
          <w:rFonts w:cs="Times New Roman"/>
          <w:b w:val="false"/>
          <w:bCs w:val="false"/>
          <w:i w:val="false"/>
          <w:caps w:val="false"/>
          <w:smallCaps w:val="false"/>
          <w:color w:val="000000"/>
          <w:spacing w:val="-2"/>
          <w:sz w:val="28"/>
          <w:szCs w:val="28"/>
          <w:lang w:val="en-US"/>
        </w:rPr>
        <w:t xml:space="preserve">LADA, </w:t>
      </w:r>
      <w:r>
        <w:rPr>
          <w:rFonts w:cs="Times New Roman"/>
          <w:b w:val="false"/>
          <w:bCs w:val="false"/>
          <w:i w:val="false"/>
          <w:caps w:val="false"/>
          <w:smallCaps w:val="false"/>
          <w:color w:val="000000"/>
          <w:spacing w:val="-2"/>
          <w:sz w:val="28"/>
          <w:szCs w:val="28"/>
          <w:lang w:val="ru-RU"/>
        </w:rPr>
        <w:t>210540, 2008 года изготовления, идентификационный номер (</w:t>
      </w:r>
      <w:r>
        <w:rPr>
          <w:rFonts w:cs="Times New Roman"/>
          <w:b w:val="false"/>
          <w:bCs w:val="false"/>
          <w:i w:val="false"/>
          <w:caps w:val="false"/>
          <w:smallCaps w:val="false"/>
          <w:color w:val="000000"/>
          <w:spacing w:val="-2"/>
          <w:sz w:val="28"/>
          <w:szCs w:val="28"/>
          <w:lang w:val="en-US"/>
        </w:rPr>
        <w:t>VIN</w:t>
      </w:r>
      <w:r>
        <w:rPr>
          <w:rFonts w:cs="Times New Roman"/>
          <w:b w:val="false"/>
          <w:bCs w:val="false"/>
          <w:i w:val="false"/>
          <w:caps w:val="false"/>
          <w:smallCaps w:val="false"/>
          <w:color w:val="000000"/>
          <w:spacing w:val="-2"/>
          <w:sz w:val="28"/>
          <w:szCs w:val="28"/>
          <w:lang w:val="ru-RU"/>
        </w:rPr>
        <w:t>) ХТА21054082137154, модель, № двигателя 21067, 9037859 кузов (кабина, прицеп) №ХТА21054082137154, цвет кузова (кабины, прицепа) ярко-белый, мощность двигателя 72.7 л.с. (53.5 кВт), рабочий объем двигателя 1568 куб.см, тип двигателя бензиновый, разрешенная максимальная масса 1460 кг, масса без нагрузки 1060 кг, паспорт транспортного средства 63 МР 985520 выдан ОАО «АВТОВАЗ» 445024 г. Тольятти, ул. Южное шоссе, 36 дата выдачи 28.03.2008г.,требуется ремонт, не на ходу</w:t>
      </w:r>
      <w:r>
        <w:rPr>
          <w:rFonts w:cs="Times New Roman"/>
          <w:b w:val="false"/>
          <w:bCs w:val="false"/>
          <w:color w:val="000000"/>
          <w:spacing w:val="-2"/>
          <w:sz w:val="28"/>
          <w:szCs w:val="28"/>
          <w:lang w:val="ru-RU"/>
        </w:rPr>
        <w:t>.</w:t>
      </w:r>
    </w:p>
    <w:p>
      <w:pPr>
        <w:pStyle w:val="Style18"/>
        <w:tabs>
          <w:tab w:val="left" w:pos="851" w:leader="none"/>
        </w:tabs>
        <w:spacing w:before="0" w:after="0"/>
        <w:jc w:val="both"/>
        <w:rPr/>
      </w:pPr>
      <w:r>
        <w:rPr>
          <w:b/>
          <w:bCs/>
          <w:sz w:val="28"/>
          <w:szCs w:val="28"/>
        </w:rPr>
        <w:tab/>
        <w:t>Способ приватизации:</w:t>
      </w:r>
      <w:r>
        <w:rPr>
          <w:bCs/>
          <w:sz w:val="28"/>
          <w:szCs w:val="28"/>
        </w:rPr>
        <w:t xml:space="preserve"> продажа муниципального имущества посредством публичного предложения</w:t>
      </w:r>
      <w:r>
        <w:rPr>
          <w:sz w:val="28"/>
          <w:szCs w:val="28"/>
        </w:rPr>
        <w:t>.</w:t>
      </w:r>
    </w:p>
    <w:p>
      <w:pPr>
        <w:pStyle w:val="Normal"/>
        <w:ind w:left="0" w:right="0" w:firstLine="720"/>
        <w:jc w:val="both"/>
        <w:rPr/>
      </w:pPr>
      <w:r>
        <w:rPr>
          <w:b/>
          <w:bCs/>
          <w:sz w:val="28"/>
          <w:szCs w:val="28"/>
        </w:rPr>
        <w:t xml:space="preserve"> </w:t>
      </w:r>
      <w:r>
        <w:rPr>
          <w:b/>
          <w:bCs/>
          <w:sz w:val="28"/>
          <w:szCs w:val="28"/>
        </w:rPr>
        <w:t>Начальная цена продажи имущества с учетом НДС:</w:t>
      </w:r>
    </w:p>
    <w:p>
      <w:pPr>
        <w:pStyle w:val="Normal"/>
        <w:tabs>
          <w:tab w:val="left" w:pos="0" w:leader="none"/>
        </w:tabs>
        <w:ind w:left="0" w:right="0" w:hanging="680"/>
        <w:jc w:val="both"/>
        <w:rPr/>
      </w:pPr>
      <w:r>
        <w:rPr>
          <w:color w:val="000000"/>
          <w:spacing w:val="-2"/>
          <w:sz w:val="28"/>
          <w:szCs w:val="28"/>
        </w:rPr>
        <w:tab/>
        <w:tab/>
        <w:t xml:space="preserve"> Лот №1 - 14 315 (четырнадцать тысяч триста пятнадцать) рублей 00 копеек.</w:t>
      </w:r>
    </w:p>
    <w:p>
      <w:pPr>
        <w:pStyle w:val="Normal"/>
        <w:tabs>
          <w:tab w:val="left" w:pos="0" w:leader="none"/>
        </w:tabs>
        <w:ind w:left="0" w:hanging="0"/>
        <w:jc w:val="both"/>
        <w:rPr>
          <w:color w:val="000000"/>
        </w:rPr>
      </w:pPr>
      <w:r>
        <w:rPr>
          <w:color w:val="000000"/>
          <w:sz w:val="28"/>
          <w:szCs w:val="28"/>
        </w:rPr>
        <w:tab/>
        <w:t>Величина снижения цены первоначального предложения «шаг понижения» составляет:</w:t>
      </w:r>
    </w:p>
    <w:p>
      <w:pPr>
        <w:pStyle w:val="Normal"/>
        <w:tabs>
          <w:tab w:val="left" w:pos="0" w:leader="none"/>
        </w:tabs>
        <w:ind w:left="0" w:hanging="0"/>
        <w:jc w:val="both"/>
        <w:rPr/>
      </w:pPr>
      <w:r>
        <w:rPr>
          <w:color w:val="000000"/>
          <w:sz w:val="28"/>
          <w:szCs w:val="28"/>
        </w:rPr>
        <w:tab/>
        <w:t>Лот №1 — 1431 (одна тысяча четыреста тридцать один) рубль 50 копеек и не изменяется в течение всей процедуры продажи муниципального имущества посредством публичного предложения.</w:t>
      </w:r>
    </w:p>
    <w:p>
      <w:pPr>
        <w:pStyle w:val="Normal"/>
        <w:tabs>
          <w:tab w:val="left" w:pos="0" w:leader="none"/>
        </w:tabs>
        <w:ind w:left="0" w:hanging="0"/>
        <w:jc w:val="both"/>
        <w:rPr>
          <w:color w:val="CE181E"/>
        </w:rPr>
      </w:pPr>
      <w:r>
        <w:rPr>
          <w:color w:val="CE181E"/>
          <w:sz w:val="28"/>
          <w:szCs w:val="28"/>
        </w:rPr>
        <w:tab/>
      </w:r>
      <w:r>
        <w:rPr>
          <w:color w:val="000000"/>
          <w:sz w:val="28"/>
          <w:szCs w:val="28"/>
        </w:rPr>
        <w:t>Величина повышения цены «шаг аукциона» в случае, предусмотренном Федеральным законом от 21 декабря 2001 года №178-ФЗ «О приватизации государственного и муниципального имущества» составляет:</w:t>
      </w:r>
    </w:p>
    <w:p>
      <w:pPr>
        <w:pStyle w:val="Normal"/>
        <w:tabs>
          <w:tab w:val="left" w:pos="0" w:leader="none"/>
        </w:tabs>
        <w:ind w:left="0" w:right="0" w:firstLine="709"/>
        <w:jc w:val="both"/>
        <w:rPr/>
      </w:pPr>
      <w:r>
        <w:rPr>
          <w:color w:val="000000"/>
          <w:sz w:val="28"/>
          <w:szCs w:val="28"/>
        </w:rPr>
        <w:t>Лота №1 — 715 (семьсот пятнадцать) рублей 75 копеек и не изменяется в течение всей процедуры продажи имущества посредством публичного предложения.</w:t>
      </w:r>
    </w:p>
    <w:p>
      <w:pPr>
        <w:pStyle w:val="Normal"/>
        <w:tabs>
          <w:tab w:val="left" w:pos="0" w:leader="none"/>
        </w:tabs>
        <w:ind w:left="0" w:hanging="0"/>
        <w:jc w:val="both"/>
        <w:rPr>
          <w:color w:val="CE181E"/>
        </w:rPr>
      </w:pPr>
      <w:r>
        <w:rPr>
          <w:color w:val="CE181E"/>
          <w:sz w:val="28"/>
          <w:szCs w:val="28"/>
        </w:rPr>
        <w:tab/>
      </w:r>
      <w:r>
        <w:rPr>
          <w:color w:val="000000"/>
          <w:sz w:val="28"/>
          <w:szCs w:val="28"/>
        </w:rPr>
        <w:t>Минимальная цена предложения, по которой может быть продано муниципальное имущество (цена отсечения):</w:t>
      </w:r>
    </w:p>
    <w:p>
      <w:pPr>
        <w:pStyle w:val="Normal"/>
        <w:tabs>
          <w:tab w:val="left" w:pos="0" w:leader="none"/>
        </w:tabs>
        <w:suppressAutoHyphens w:val="true"/>
        <w:ind w:left="0" w:firstLine="709"/>
        <w:jc w:val="both"/>
        <w:rPr/>
      </w:pPr>
      <w:r>
        <w:rPr>
          <w:color w:val="000000"/>
          <w:spacing w:val="-2"/>
          <w:sz w:val="28"/>
          <w:szCs w:val="28"/>
        </w:rPr>
        <w:t>Лота №1 — 7157 (семь тысяч сто пятьдесят семь) рублей 50 копеек.</w:t>
      </w:r>
    </w:p>
    <w:p>
      <w:pPr>
        <w:pStyle w:val="Normal"/>
        <w:tabs>
          <w:tab w:val="left" w:pos="0" w:leader="none"/>
        </w:tabs>
        <w:ind w:left="0" w:right="0" w:firstLine="720"/>
        <w:jc w:val="both"/>
        <w:rPr/>
      </w:pPr>
      <w:r>
        <w:rPr>
          <w:color w:val="000000"/>
          <w:sz w:val="28"/>
          <w:szCs w:val="28"/>
        </w:rPr>
        <w:t>Предложения о цене муниципального имущества</w:t>
      </w:r>
      <w:r>
        <w:rPr>
          <w:sz w:val="28"/>
          <w:szCs w:val="28"/>
        </w:rPr>
        <w:t xml:space="preserve"> заявляются участниками продажи открыто в ходе проведения торгов.</w:t>
      </w:r>
    </w:p>
    <w:p>
      <w:pPr>
        <w:pStyle w:val="Normal"/>
        <w:tabs>
          <w:tab w:val="left" w:pos="0" w:leader="none"/>
        </w:tabs>
        <w:ind w:left="0" w:firstLine="709"/>
        <w:jc w:val="both"/>
        <w:rPr>
          <w:bCs/>
        </w:rPr>
      </w:pPr>
      <w:r>
        <w:rPr>
          <w:b/>
          <w:bCs/>
        </w:rPr>
        <w:t>Форма подачи предложений о цене</w:t>
      </w:r>
      <w:r>
        <w:rPr>
          <w:bCs/>
        </w:rPr>
        <w:t>: открытая.</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w:t>
      </w:r>
      <w:bookmarkStart w:id="1" w:name="__DdeLink__267_1200119388"/>
      <w:r>
        <w:rPr/>
        <w:t xml:space="preserve">Денежные средства в счет оплаты муниципального имущества </w:t>
      </w:r>
      <w:r>
        <w:rPr>
          <w:color w:val="000000"/>
        </w:rPr>
        <w:t>подлежат перечислению победителем в установленном порядке в бюджет не позднее 30 рабочих дней со дня заключения договора купли-продажи</w:t>
      </w:r>
      <w:bookmarkEnd w:id="1"/>
      <w:r>
        <w:rPr>
          <w:color w:val="000000"/>
        </w:rPr>
        <w:t xml:space="preserve"> по реквизитам: </w:t>
      </w:r>
    </w:p>
    <w:p>
      <w:pPr>
        <w:pStyle w:val="Normal"/>
        <w:widowControl/>
        <w:numPr>
          <w:ilvl w:val="0"/>
          <w:numId w:val="0"/>
        </w:numPr>
        <w:tabs>
          <w:tab w:val="left" w:pos="0" w:leader="none"/>
        </w:tabs>
        <w:ind w:left="0" w:firstLine="709"/>
        <w:jc w:val="both"/>
        <w:outlineLvl w:val="1"/>
        <w:rPr/>
      </w:pPr>
      <w:r>
        <w:rPr>
          <w:rFonts w:cs="Times New Roman"/>
          <w:color w:val="000000"/>
          <w:sz w:val="28"/>
          <w:szCs w:val="28"/>
        </w:rPr>
        <w:t xml:space="preserve">УФК по Белгородской области (04263009370 Администрация Ровеньского района) ИНН 3117001001, КПП 311701001 </w:t>
      </w:r>
      <w:r>
        <w:rPr>
          <w:rFonts w:cs="Times New Roman"/>
          <w:b w:val="false"/>
          <w:bCs w:val="false"/>
          <w:color w:val="000000"/>
          <w:sz w:val="28"/>
          <w:szCs w:val="28"/>
        </w:rPr>
        <w:t>р/сч: 03100643000000012600, кор/сч:</w:t>
      </w:r>
      <w:r>
        <w:rPr>
          <w:rFonts w:cs="Times New Roman"/>
          <w:b w:val="false"/>
          <w:bCs w:val="false"/>
          <w:color w:val="000000"/>
          <w:sz w:val="28"/>
          <w:szCs w:val="28"/>
          <w:lang w:val="en-US"/>
        </w:rPr>
        <w:t xml:space="preserve"> 40102810745370000018, </w:t>
      </w:r>
      <w:r>
        <w:rPr>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__________20___г.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pPr>
      <w:r>
        <w:rPr>
          <w:b/>
        </w:rPr>
        <w:t xml:space="preserve">Размер задатка, сроки и порядок внесения и возвращения задатка, назначение платежа, реквизиты счетов: </w:t>
      </w:r>
      <w:r>
        <w:rPr/>
        <w:t>Для участия в продаже претенденту необходимо внести задаток в размере 10% начальной цены имущества в сумме:</w:t>
      </w:r>
    </w:p>
    <w:p>
      <w:pPr>
        <w:pStyle w:val="Normal"/>
        <w:ind w:left="0" w:firstLine="680"/>
        <w:jc w:val="both"/>
        <w:rPr/>
      </w:pPr>
      <w:r>
        <w:rPr/>
        <w:t>по Лоту №1 – 1431 (одна тысяча четыреста тридцать один) рубль 50 копеек,</w:t>
      </w:r>
    </w:p>
    <w:p>
      <w:pPr>
        <w:pStyle w:val="Normal"/>
        <w:ind w:left="0" w:firstLine="680"/>
        <w:jc w:val="both"/>
        <w:rPr/>
      </w:pPr>
      <w:r>
        <w:rPr>
          <w:sz w:val="28"/>
          <w:szCs w:val="28"/>
        </w:rPr>
        <w:t>по следующим реквизитам: АО «Сбербанк – АСТ» ИНН 7707308480, КПП 770401001, расчетный счет 40702810300020038047, банк: ПАО «Сбербанк России» г.Москва, БИК 044525225, корреспондентский счет 30101810400000000225. Назначение платежа: Перечисление денежных средств в качестве задатка (ИНН плательщика) НДС не облагается.  Денежные средства, перечисленные за Участника третьим лицом, не зачисляются на счет такого Участника на УТП.</w:t>
      </w:r>
      <w:r>
        <w:rPr>
          <w:b w:val="false"/>
          <w:bCs w:val="false"/>
          <w:i/>
          <w:iCs/>
          <w:color w:val="C7A0CB"/>
          <w:sz w:val="28"/>
          <w:szCs w:val="28"/>
        </w:rPr>
        <w:t xml:space="preserve"> </w:t>
      </w:r>
      <w:r>
        <w:rPr>
          <w:b w:val="false"/>
          <w:bCs w:val="false"/>
          <w:i w:val="false"/>
          <w:iCs w:val="false"/>
          <w:color w:val="000000"/>
          <w:sz w:val="28"/>
          <w:szCs w:val="28"/>
        </w:rPr>
        <w:t>Срок зачисления денежных средств на лицевой счет Участника на УТП – от 1 до 3 рабочих дней.</w:t>
      </w:r>
      <w:r>
        <w:rPr>
          <w:b w:val="false"/>
          <w:bCs w:val="false"/>
          <w:i/>
          <w:iCs/>
          <w:color w:val="C7A0CB"/>
          <w:sz w:val="28"/>
          <w:szCs w:val="28"/>
        </w:rPr>
        <w:t xml:space="preserve"> </w:t>
      </w:r>
      <w:r>
        <w:rPr>
          <w:sz w:val="28"/>
          <w:szCs w:val="28"/>
        </w:rPr>
        <w:t xml:space="preserve">Данное сообщение является публичной офертой в соответствии со </w:t>
      </w:r>
      <w:hyperlink r:id="rId3">
        <w:r>
          <w:rPr>
            <w:rStyle w:val="ListLabel3"/>
            <w:sz w:val="28"/>
            <w:szCs w:val="28"/>
          </w:rPr>
          <w:t>статьей 437</w:t>
        </w:r>
      </w:hyperlink>
      <w:r>
        <w:rPr>
          <w:sz w:val="28"/>
          <w:szCs w:val="28"/>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 </w:t>
      </w:r>
      <w:r>
        <w:rPr>
          <w:color w:val="000000"/>
          <w:sz w:val="28"/>
          <w:szCs w:val="28"/>
        </w:rPr>
        <w:t>Документом, подтверждающим поступление задатка на счет, указанный в информационном сообщении, является выписка из этого счета.</w:t>
      </w:r>
      <w:r>
        <w:rPr>
          <w:i/>
          <w:iCs/>
          <w:color w:val="000000"/>
          <w:sz w:val="28"/>
          <w:szCs w:val="28"/>
        </w:rPr>
        <w:t xml:space="preserve"> </w:t>
      </w:r>
      <w:r>
        <w:rPr>
          <w:b w:val="false"/>
          <w:bCs w:val="false"/>
          <w:i w:val="false"/>
          <w:iCs w:val="false"/>
          <w:color w:val="000000"/>
          <w:sz w:val="28"/>
          <w:szCs w:val="28"/>
        </w:rPr>
        <w:t>Срок внесения задатка до 01 сентября 2023 года включительно.</w:t>
      </w:r>
    </w:p>
    <w:p>
      <w:pPr>
        <w:pStyle w:val="Normal"/>
        <w:ind w:left="0" w:hanging="0"/>
        <w:jc w:val="both"/>
        <w:rPr/>
      </w:pPr>
      <w:r>
        <w:rPr>
          <w:rFonts w:ascii="Arial" w:hAnsi="Arial"/>
          <w:b w:val="false"/>
          <w:i w:val="false"/>
          <w:strike w:val="false"/>
          <w:dstrike w:val="false"/>
          <w:sz w:val="20"/>
          <w:u w:val="none"/>
        </w:rPr>
        <w:tab/>
      </w:r>
      <w:r>
        <w:rPr>
          <w:b w:val="false"/>
          <w:i w:val="false"/>
          <w:strike w:val="false"/>
          <w:dstrike w:val="false"/>
          <w:sz w:val="28"/>
          <w:szCs w:val="28"/>
          <w:u w:val="none"/>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pPr>
        <w:pStyle w:val="Normal"/>
        <w:ind w:left="0" w:hanging="0"/>
        <w:jc w:val="both"/>
        <w:rPr/>
      </w:pPr>
      <w:r>
        <w:rPr>
          <w:b w:val="false"/>
          <w:i w:val="false"/>
          <w:strike w:val="false"/>
          <w:dstrike w:val="false"/>
          <w:sz w:val="28"/>
          <w:szCs w:val="28"/>
          <w:u w:val="none"/>
        </w:rPr>
        <w:tab/>
        <w:t xml:space="preserve">В случае отзыва претендентом заявки в порядке, установленном </w:t>
      </w:r>
      <w:r>
        <w:rPr>
          <w:b w:val="false"/>
          <w:i w:val="false"/>
          <w:strike w:val="false"/>
          <w:dstrike w:val="false"/>
          <w:sz w:val="28"/>
          <w:szCs w:val="28"/>
          <w:highlight w:val="yellow"/>
          <w:u w:val="none"/>
        </w:rPr>
        <w:t xml:space="preserve"> </w:t>
      </w:r>
      <w:r>
        <w:rPr>
          <w:b w:val="false"/>
          <w:i w:val="false"/>
          <w:strike w:val="false"/>
          <w:dstrike w:val="false"/>
          <w:sz w:val="28"/>
          <w:szCs w:val="28"/>
          <w:u w:val="none"/>
        </w:rPr>
        <w:t>Положением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ind w:left="0" w:hanging="0"/>
        <w:jc w:val="both"/>
        <w:rPr/>
      </w:pPr>
      <w:r>
        <w:rPr>
          <w:b w:val="false"/>
          <w:i w:val="false"/>
          <w:strike w:val="false"/>
          <w:dstrike w:val="false"/>
          <w:sz w:val="28"/>
          <w:szCs w:val="28"/>
          <w:u w:val="none"/>
        </w:rPr>
        <w:tab/>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Лицам, перечислившим задаток для участия в продаже муниципального имущества посредством публичного предложения, денежные средства возвращаются в следующем порядке:</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участникам, за исключением победителя - в течение 5 календарных дней со дня подведения итогов 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pPr>
        <w:pStyle w:val="Normal"/>
        <w:widowControl/>
        <w:numPr>
          <w:ilvl w:val="0"/>
          <w:numId w:val="0"/>
        </w:numPr>
        <w:ind w:left="0" w:firstLine="680"/>
        <w:jc w:val="both"/>
        <w:outlineLvl w:val="1"/>
        <w:rPr/>
      </w:pPr>
      <w:r>
        <w:rPr>
          <w:b w:val="false"/>
          <w:bCs w:val="false"/>
          <w:i w:val="false"/>
          <w:iCs w:val="false"/>
          <w:color w:val="000000"/>
          <w:sz w:val="28"/>
          <w:szCs w:val="28"/>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сайте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pPr>
      <w:r>
        <w:rPr>
          <w:b/>
        </w:rPr>
        <w:t>Порядок, место, даты начала и окончания подачи заявок на участие в продаже посредством публичного предложения:</w:t>
      </w:r>
    </w:p>
    <w:p>
      <w:pPr>
        <w:pStyle w:val="Normal"/>
        <w:widowControl/>
        <w:numPr>
          <w:ilvl w:val="0"/>
          <w:numId w:val="0"/>
        </w:numPr>
        <w:ind w:left="0" w:firstLine="680"/>
        <w:jc w:val="both"/>
        <w:outlineLvl w:val="1"/>
        <w:rPr/>
      </w:pPr>
      <w:r>
        <w:rPr/>
        <w:t>З</w:t>
      </w:r>
      <w:r>
        <w:rPr>
          <w:b w:val="false"/>
          <w:bCs w:val="false"/>
        </w:rPr>
        <w:t xml:space="preserve">аявки на участие в  продаже муниципального имуществом </w:t>
      </w:r>
      <w:bookmarkStart w:id="2" w:name="__DdeLink__218_3850811461"/>
      <w:r>
        <w:rPr>
          <w:b w:val="false"/>
          <w:bCs w:val="false"/>
        </w:rPr>
        <w:t>посредством публичного предложения</w:t>
      </w:r>
      <w:bookmarkEnd w:id="2"/>
      <w:r>
        <w:rPr/>
        <w:t xml:space="preserve"> принимаются (согласно приложения №1) на торговой площадке  АО «Сбербанк – </w:t>
      </w:r>
      <w:r>
        <w:rPr>
          <w:i w:val="false"/>
          <w:iCs w:val="false"/>
          <w:color w:val="000000"/>
        </w:rPr>
        <w:t>АСТ» с 00:00 01 августа 2023 г. по 23:00 01 сентября 2023г. включительно, без</w:t>
      </w:r>
      <w:r>
        <w:rPr>
          <w:color w:val="000000"/>
        </w:rPr>
        <w:t xml:space="preserve"> перерыва и выходных по адресу: </w:t>
      </w:r>
      <w:hyperlink r:id="rId5">
        <w:r>
          <w:rPr>
            <w:rStyle w:val="Style15"/>
            <w:color w:val="000000"/>
            <w:u w:val="none"/>
          </w:rPr>
          <w:t>http://</w:t>
        </w:r>
        <w:r>
          <w:rPr>
            <w:rStyle w:val="Style15"/>
            <w:color w:val="000000"/>
            <w:u w:val="none"/>
            <w:lang w:val="en-US"/>
          </w:rPr>
          <w:t>utp</w:t>
        </w:r>
        <w:r>
          <w:rPr>
            <w:rStyle w:val="Style15"/>
            <w:color w:val="000000"/>
            <w:u w:val="none"/>
          </w:rPr>
          <w:t>.sberbank-ast.ru</w:t>
        </w:r>
      </w:hyperlink>
      <w:r>
        <w:rPr>
          <w:color w:val="000000"/>
        </w:rPr>
        <w:t>. В день определения участников Операто</w:t>
      </w:r>
      <w:r>
        <w:rPr/>
        <w:t>р торговой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Normal"/>
        <w:widowControl/>
        <w:numPr>
          <w:ilvl w:val="0"/>
          <w:numId w:val="0"/>
        </w:numPr>
        <w:ind w:left="0" w:firstLine="709"/>
        <w:jc w:val="both"/>
        <w:outlineLvl w:val="1"/>
        <w:rPr>
          <w:highlight w:val="yellow"/>
        </w:rPr>
      </w:pPr>
      <w:r>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w:t>
      </w:r>
      <w:r>
        <w:rPr>
          <w:i/>
          <w:iCs/>
          <w:color w:val="7477B8"/>
        </w:rPr>
        <w:t xml:space="preserve"> </w:t>
      </w:r>
      <w:r>
        <w:rPr>
          <w:i w:val="false"/>
          <w:iCs w:val="false"/>
          <w:color w:val="000000"/>
        </w:rPr>
        <w:t xml:space="preserve">Заявки с прилагаемыми к ним документами, поданные с нарушением установленного срока, на электронной площадке не регистрируются. </w:t>
      </w:r>
    </w:p>
    <w:p>
      <w:pPr>
        <w:pStyle w:val="Normal"/>
        <w:widowControl/>
        <w:ind w:left="0" w:firstLine="540"/>
        <w:jc w:val="both"/>
        <w:rPr/>
      </w:pPr>
      <w:r>
        <w:rPr>
          <w:rFonts w:eastAsia="Calibri"/>
          <w:lang w:eastAsia="en-US"/>
        </w:rPr>
        <w:t>Претендент не допускается к участию в продаже посредством публичного предложения  по следующим основаниям:</w:t>
      </w:r>
    </w:p>
    <w:p>
      <w:pPr>
        <w:pStyle w:val="Normal"/>
        <w:widowControl/>
        <w:ind w:left="0" w:firstLine="540"/>
        <w:jc w:val="both"/>
        <w:rPr/>
      </w:pPr>
      <w:r>
        <w:rPr>
          <w:rFonts w:eastAsia="Calibri"/>
          <w:lang w:eastAsia="en-US"/>
        </w:rPr>
        <w:t xml:space="preserve">представленные документы не подтверждают право претендента быть покупателем в соответствии с </w:t>
      </w:r>
      <w:hyperlink r:id="rId6">
        <w:r>
          <w:rPr>
            <w:rStyle w:val="ListLabel4"/>
          </w:rPr>
          <w:t>законодательством</w:t>
        </w:r>
      </w:hyperlink>
      <w:r>
        <w:rPr>
          <w:rFonts w:eastAsia="Calibri"/>
          <w:lang w:eastAsia="en-US"/>
        </w:rPr>
        <w:t xml:space="preserve"> Российской Федерации;</w:t>
      </w:r>
    </w:p>
    <w:p>
      <w:pPr>
        <w:pStyle w:val="Normal"/>
        <w:widowControl/>
        <w:ind w:left="0" w:firstLine="540"/>
        <w:jc w:val="both"/>
        <w:rPr>
          <w:color w:val="EF413D"/>
        </w:rPr>
      </w:pPr>
      <w:r>
        <w:rPr>
          <w:rFonts w:eastAsia="Calibri"/>
          <w:color w:val="000000"/>
          <w:lang w:eastAsia="en-US"/>
        </w:rPr>
        <w:t>представлены не все документы в соответствии с перечнем,</w:t>
      </w:r>
      <w:r>
        <w:rPr>
          <w:rFonts w:eastAsia="Calibri"/>
          <w:color w:val="EF413D"/>
          <w:lang w:eastAsia="en-US"/>
        </w:rPr>
        <w:t xml:space="preserve"> </w:t>
      </w:r>
      <w:r>
        <w:rPr>
          <w:rFonts w:eastAsia="Calibri"/>
          <w:color w:val="000000"/>
          <w:lang w:eastAsia="en-US"/>
        </w:rPr>
        <w:t>указанным в информационном сообщении о продаже муниципального имущества,</w:t>
      </w:r>
      <w:r>
        <w:rPr>
          <w:rFonts w:eastAsia="Calibri"/>
          <w:color w:val="EF413D"/>
          <w:lang w:eastAsia="en-US"/>
        </w:rPr>
        <w:t xml:space="preserve"> </w:t>
      </w:r>
      <w:r>
        <w:rPr>
          <w:rFonts w:eastAsia="Calibri"/>
          <w:color w:val="000000"/>
          <w:lang w:eastAsia="en-US"/>
        </w:rPr>
        <w:t>либо</w:t>
      </w:r>
      <w:r>
        <w:rPr>
          <w:rFonts w:eastAsia="Calibri"/>
          <w:color w:val="EF413D"/>
          <w:lang w:eastAsia="en-US"/>
        </w:rPr>
        <w:t xml:space="preserve"> </w:t>
      </w:r>
      <w:r>
        <w:rPr>
          <w:rFonts w:eastAsia="Calibri"/>
          <w:color w:val="000000"/>
          <w:lang w:eastAsia="en-US"/>
        </w:rPr>
        <w:t>оформление указанных документов не соответствует законодательству Российской Федерации;</w:t>
      </w:r>
    </w:p>
    <w:p>
      <w:pPr>
        <w:pStyle w:val="Normal"/>
        <w:widowControl/>
        <w:ind w:left="0" w:firstLine="540"/>
        <w:jc w:val="both"/>
        <w:rPr/>
      </w:pPr>
      <w:r>
        <w:rPr>
          <w:rFonts w:eastAsia="Calibri"/>
          <w:lang w:eastAsia="en-US"/>
        </w:rPr>
        <w:t>заявка на участие в продаже посредством публичного предложения подана лицом, не уполномоченным претендентом на осуществление таких действий;</w:t>
      </w:r>
    </w:p>
    <w:p>
      <w:pPr>
        <w:pStyle w:val="Normal"/>
        <w:widowControl/>
        <w:ind w:left="0" w:firstLine="540"/>
        <w:jc w:val="both"/>
        <w:rPr/>
      </w:pPr>
      <w:r>
        <w:rPr>
          <w:rFonts w:eastAsia="Calibri"/>
          <w:lang w:eastAsia="en-US"/>
        </w:rPr>
        <w:t>поступление в установленный срок задатка на счет, указанный в информационном сообщении не подтверждено.</w:t>
      </w:r>
    </w:p>
    <w:p>
      <w:pPr>
        <w:pStyle w:val="Normal"/>
        <w:tabs>
          <w:tab w:val="left" w:pos="4500" w:leader="none"/>
        </w:tabs>
        <w:ind w:left="0" w:firstLine="680"/>
        <w:jc w:val="both"/>
        <w:rPr/>
      </w:pPr>
      <w:r>
        <w:rPr>
          <w:i w:val="false"/>
          <w:iCs w:val="false"/>
          <w:color w:val="000000"/>
        </w:rPr>
        <w:t xml:space="preserve">Дата рассмотрения заявок и документов претендентов, а также дата определения участников продажи 04 сентября 2023г. </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b/>
        </w:rPr>
        <w:t>Дата и время проведения продажи  посредством публичного предложения:</w:t>
      </w:r>
      <w:r>
        <w:rPr>
          <w:color w:val="000000"/>
        </w:rPr>
        <w:t xml:space="preserve"> 05</w:t>
      </w:r>
      <w:r>
        <w:rPr>
          <w:i w:val="false"/>
          <w:iCs w:val="false"/>
          <w:color w:val="000000"/>
        </w:rPr>
        <w:t xml:space="preserve"> сентября 2023 г. в 09:00 ч. </w:t>
      </w:r>
    </w:p>
    <w:p>
      <w:pPr>
        <w:pStyle w:val="Normal"/>
        <w:ind w:left="0" w:firstLine="680"/>
        <w:jc w:val="both"/>
        <w:rPr/>
      </w:pPr>
      <w:r>
        <w:rPr>
          <w:b/>
        </w:rPr>
        <w:t>Место проведения продажи посредством публичного предложения:</w:t>
      </w:r>
      <w:r>
        <w:rPr/>
        <w:t xml:space="preserve"> электронная площадка - УТП АО «Сбербанк – АСТ» на сайте </w:t>
      </w:r>
      <w:hyperlink r:id="rId8">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pPr>
      <w:r>
        <w:rPr>
          <w:b/>
        </w:rPr>
        <w:t>Правила проведения продажи  посредством публичного предложения:</w:t>
      </w:r>
      <w:r>
        <w:rPr/>
        <w:t xml:space="preserve"> </w:t>
      </w:r>
      <w:r>
        <w:rPr>
          <w:rFonts w:ascii="Arial" w:hAnsi="Arial"/>
          <w:b w:val="false"/>
          <w:i w:val="false"/>
          <w:strike w:val="false"/>
          <w:dstrike w:val="false"/>
          <w:sz w:val="20"/>
          <w:u w:val="none"/>
        </w:rPr>
        <w:t xml:space="preserve"> </w:t>
        <w:tab/>
      </w:r>
      <w:r>
        <w:rPr>
          <w:b w:val="false"/>
          <w:i w:val="false"/>
          <w:strike w:val="false"/>
          <w:dstrike w:val="false"/>
          <w:sz w:val="28"/>
          <w:szCs w:val="28"/>
          <w:u w:val="none"/>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b w:val="false"/>
          <w:i w:val="false"/>
          <w:strike w:val="false"/>
          <w:dstrike w:val="false"/>
          <w:color w:val="000000"/>
          <w:sz w:val="28"/>
          <w:szCs w:val="28"/>
          <w:u w:val="none"/>
        </w:rPr>
        <w:t xml:space="preserve">разделом II </w:t>
      </w:r>
      <w:r>
        <w:rPr>
          <w:b w:val="false"/>
          <w:i w:val="false"/>
          <w:strike w:val="false"/>
          <w:dstrike w:val="false"/>
          <w:sz w:val="28"/>
          <w:szCs w:val="28"/>
          <w:u w:val="none"/>
        </w:rPr>
        <w:t>Положения от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 </w:t>
      </w:r>
      <w:r>
        <w:rPr>
          <w:b w:val="false"/>
          <w:i w:val="false"/>
          <w:strike w:val="false"/>
          <w:dstrike w:val="false"/>
          <w:sz w:val="28"/>
          <w:szCs w:val="28"/>
          <w:u w:val="none"/>
        </w:rPr>
        <w:t>Со времени начала проведения процедуры продажи имущества посредством публичного предложения оператором электронной площадки размещается: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 </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pPr>
        <w:pStyle w:val="Normal"/>
        <w:widowControl/>
        <w:numPr>
          <w:ilvl w:val="0"/>
          <w:numId w:val="0"/>
        </w:numPr>
        <w:ind w:left="0" w:firstLine="680"/>
        <w:jc w:val="both"/>
        <w:outlineLvl w:val="1"/>
        <w:rPr/>
      </w:pPr>
      <w:r>
        <w:rPr>
          <w:b/>
          <w:color w:val="000000"/>
        </w:rPr>
        <w:t>Срок заключения договора купли-продажи:</w:t>
      </w:r>
      <w:r>
        <w:rPr>
          <w:color w:val="000000"/>
        </w:rPr>
        <w:t xml:space="preserve"> Не позднее чем через 5 рабочих дней с даты проведения продажи с победителем заключается договор купли-продажи имущества.</w:t>
      </w:r>
    </w:p>
    <w:p>
      <w:pPr>
        <w:pStyle w:val="Normal"/>
        <w:widowControl/>
        <w:numPr>
          <w:ilvl w:val="0"/>
          <w:numId w:val="0"/>
        </w:numPr>
        <w:ind w:left="0" w:firstLine="680"/>
        <w:jc w:val="both"/>
        <w:outlineLvl w:val="1"/>
        <w:rPr/>
      </w:pPr>
      <w:r>
        <w:rPr>
          <w:i w:val="false"/>
          <w:iCs w:val="false"/>
          <w:color w:val="000000"/>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9">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 xml:space="preserve">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w:t>
      </w:r>
      <w:r>
        <w:rPr>
          <w:color w:val="000000"/>
        </w:rPr>
        <w:t>позднее 25 августа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07, 14, 21 и 28 августа 2023 года 2023 года. Для</w:t>
      </w:r>
      <w:bookmarkStart w:id="3" w:name="_GoBack"/>
      <w:bookmarkEnd w:id="3"/>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mandrygina_mr@ro.belregion.ru</w:t>
      </w:r>
      <w:r>
        <w:rPr>
          <w:b w:val="false"/>
          <w:bCs w:val="false"/>
          <w:i w:val="false"/>
          <w:iCs w:val="false"/>
          <w:color w:val="000000"/>
        </w:rPr>
        <w:t xml:space="preserve"> запрос по форме (Приложение №2).</w:t>
      </w:r>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w:t>
      </w:r>
      <w:r>
        <w:rPr>
          <w:color w:val="000000"/>
        </w:rPr>
        <w:t xml:space="preserve">в </w:t>
      </w:r>
      <w:r>
        <w:rPr/>
        <w:t xml:space="preserve">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4"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4"/>
    </w:p>
    <w:p>
      <w:pPr>
        <w:pStyle w:val="Normal"/>
        <w:widowControl/>
        <w:numPr>
          <w:ilvl w:val="0"/>
          <w:numId w:val="0"/>
        </w:numPr>
        <w:ind w:left="0" w:firstLine="680"/>
        <w:jc w:val="both"/>
        <w:outlineLvl w:val="1"/>
        <w:rPr/>
      </w:pPr>
      <w:r>
        <w:rPr>
          <w:b/>
        </w:rPr>
        <w:t>Порядок определения победителей:</w:t>
      </w:r>
      <w:r>
        <w:rPr/>
        <w:t xml:space="preserve"> </w:t>
      </w:r>
    </w:p>
    <w:p>
      <w:pPr>
        <w:pStyle w:val="Normal"/>
        <w:ind w:left="0" w:firstLine="540"/>
        <w:jc w:val="both"/>
        <w:rPr/>
      </w:pPr>
      <w:r>
        <w:rPr>
          <w:b w:val="false"/>
          <w:i w:val="false"/>
          <w:strike w:val="false"/>
          <w:dstrike w:val="false"/>
          <w:sz w:val="28"/>
          <w:szCs w:val="28"/>
          <w:u w:val="none"/>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pPr>
        <w:pStyle w:val="Normal"/>
        <w:ind w:left="0" w:firstLine="540"/>
        <w:jc w:val="both"/>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ConsPlusNormal"/>
        <w:widowControl w:val="false"/>
        <w:bidi w:val="0"/>
        <w:ind w:left="57" w:right="0" w:firstLine="567"/>
        <w:jc w:val="both"/>
        <w:rPr/>
      </w:pPr>
      <w:r>
        <w:rPr>
          <w:rFonts w:cs="Times New Roman" w:ascii="Times New Roman" w:hAnsi="Times New Roman"/>
          <w:b/>
          <w:sz w:val="28"/>
          <w:szCs w:val="28"/>
        </w:rPr>
        <w:t>Подведение итогов аукциона:</w:t>
      </w:r>
      <w:r>
        <w:rPr>
          <w:rFonts w:cs="Times New Roman" w:ascii="Times New Roman" w:hAnsi="Times New Roman"/>
          <w:sz w:val="28"/>
          <w:szCs w:val="28"/>
        </w:rPr>
        <w:t xml:space="preserve"> </w:t>
      </w:r>
      <w:r>
        <w:rPr>
          <w:rFonts w:ascii="Times New Roman" w:hAnsi="Times New Roman"/>
          <w:b w:val="false"/>
          <w:i w:val="false"/>
          <w:strike w:val="false"/>
          <w:dstrike w:val="false"/>
          <w:sz w:val="28"/>
          <w:szCs w:val="28"/>
          <w:u w:val="none"/>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 xml:space="preserve"> </w:t>
      </w:r>
      <w:r>
        <w:rPr>
          <w:rFonts w:ascii="Times New Roman" w:hAnsi="Times New Roman"/>
          <w:b w:val="false"/>
          <w:i w:val="false"/>
          <w:strike w:val="false"/>
          <w:dstrike w:val="false"/>
          <w:sz w:val="28"/>
          <w:szCs w:val="28"/>
          <w:u w:val="none"/>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pPr>
        <w:pStyle w:val="Normal"/>
        <w:tabs>
          <w:tab w:val="left" w:pos="4500" w:leader="none"/>
        </w:tabs>
        <w:ind w:left="0" w:firstLine="680"/>
        <w:jc w:val="both"/>
        <w:rPr>
          <w:highlight w:val="yellow"/>
        </w:rPr>
      </w:pPr>
      <w:bookmarkStart w:id="5" w:name="__DdeLink__382_1567635490"/>
      <w:r>
        <w:rPr/>
        <w:t xml:space="preserve">Место подведения итогов: Белгородская область, Ровеньский район, поселок Ровеньки, улица Ленина, дом 50. </w:t>
      </w:r>
      <w:bookmarkEnd w:id="5"/>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не выставлялось на торги. В 2023 году выставлялось на аукционе, который не состоялся, так как лицо, признанное единственным участником аукциона, отказалось от заключения договора купли-продажи.</w:t>
      </w:r>
    </w:p>
    <w:p>
      <w:pPr>
        <w:pStyle w:val="Normal"/>
        <w:ind w:left="680" w:hanging="0"/>
        <w:jc w:val="both"/>
        <w:rPr>
          <w:i w:val="false"/>
          <w:i w:val="false"/>
          <w:iCs w:val="false"/>
          <w:color w:val="000000"/>
        </w:rPr>
      </w:pPr>
      <w:r>
        <w:rPr>
          <w:i w:val="false"/>
          <w:iCs w:val="false"/>
          <w:color w:val="000000"/>
        </w:rPr>
      </w:r>
    </w:p>
    <w:p>
      <w:pPr>
        <w:pStyle w:val="Normal"/>
        <w:ind w:left="680" w:hanging="0"/>
        <w:jc w:val="both"/>
        <w:rPr>
          <w:i w:val="false"/>
          <w:i w:val="false"/>
          <w:iCs w:val="false"/>
          <w:color w:val="000000"/>
        </w:rPr>
      </w:pPr>
      <w:r>
        <w:rPr>
          <w:i w:val="false"/>
          <w:iCs w:val="false"/>
          <w:color w:val="000000"/>
        </w:rPr>
      </w:r>
    </w:p>
    <w:p>
      <w:pPr>
        <w:pStyle w:val="Normal"/>
        <w:rPr>
          <w:i/>
          <w:i/>
          <w:iCs/>
          <w:color w:val="000000"/>
          <w:highlight w:val="yellow"/>
        </w:rPr>
      </w:pPr>
      <w:r>
        <w:rPr>
          <w:i/>
          <w:iCs/>
          <w:color w:val="000000"/>
          <w:highlight w:val="yellow"/>
        </w:rPr>
      </w:r>
    </w:p>
    <w:p>
      <w:pPr>
        <w:pStyle w:val="Normal"/>
        <w:rPr>
          <w:i/>
          <w:i/>
          <w:iCs/>
          <w:color w:val="7477B8"/>
        </w:rPr>
      </w:pPr>
      <w:r>
        <w:rPr>
          <w:i/>
          <w:iCs/>
          <w:color w:val="7477B8"/>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u w:val="none"/>
    </w:rPr>
  </w:style>
  <w:style w:type="character" w:styleId="ListLabel214">
    <w:name w:val="ListLabel 214"/>
    <w:qFormat/>
    <w:rPr>
      <w:color w:val="000000"/>
      <w:sz w:val="28"/>
      <w:szCs w:val="28"/>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u w:val="none"/>
    </w:rPr>
  </w:style>
  <w:style w:type="character" w:styleId="ListLabel221">
    <w:name w:val="ListLabel 221"/>
    <w:qFormat/>
    <w:rPr>
      <w:color w:val="000000"/>
      <w:sz w:val="28"/>
      <w:szCs w:val="28"/>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u w:val="none"/>
    </w:rPr>
  </w:style>
  <w:style w:type="character" w:styleId="ListLabel228">
    <w:name w:val="ListLabel 228"/>
    <w:qFormat/>
    <w:rPr>
      <w:color w:val="000000"/>
      <w:sz w:val="28"/>
      <w:szCs w:val="28"/>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character" w:styleId="ListLabel264">
    <w:name w:val="ListLabel 264"/>
    <w:qFormat/>
    <w:rPr>
      <w:color w:val="000000"/>
      <w:u w:val="none"/>
    </w:rPr>
  </w:style>
  <w:style w:type="character" w:styleId="ListLabel265">
    <w:name w:val="ListLabel 265"/>
    <w:qFormat/>
    <w:rPr>
      <w:color w:val="000000"/>
      <w:u w:val="none"/>
      <w:lang w:val="en-US"/>
    </w:rPr>
  </w:style>
  <w:style w:type="character" w:styleId="ListLabel266">
    <w:name w:val="ListLabel 266"/>
    <w:qFormat/>
    <w:rPr>
      <w:sz w:val="28"/>
      <w:szCs w:val="28"/>
    </w:rPr>
  </w:style>
  <w:style w:type="character" w:styleId="ListLabel267">
    <w:name w:val="ListLabel 267"/>
    <w:qFormat/>
    <w:rPr/>
  </w:style>
  <w:style w:type="character" w:styleId="ListLabel268">
    <w:name w:val="ListLabel 268"/>
    <w:qFormat/>
    <w:rPr/>
  </w:style>
  <w:style w:type="character" w:styleId="ListLabel269">
    <w:name w:val="ListLabel 269"/>
    <w:qFormat/>
    <w:rPr>
      <w:color w:val="000000"/>
      <w:sz w:val="28"/>
      <w:szCs w:val="28"/>
      <w:u w:val="none"/>
    </w:rPr>
  </w:style>
  <w:style w:type="character" w:styleId="ListLabel270">
    <w:name w:val="ListLabel 270"/>
    <w:qFormat/>
    <w:rPr>
      <w:color w:val="000000"/>
      <w:sz w:val="28"/>
      <w:szCs w:val="28"/>
      <w:u w:val="none"/>
      <w:lang w:val="en-US"/>
    </w:rPr>
  </w:style>
  <w:style w:type="character" w:styleId="ListLabel271">
    <w:name w:val="ListLabel 271"/>
    <w:qFormat/>
    <w:rPr>
      <w:color w:val="000000"/>
      <w:u w:val="none"/>
    </w:rPr>
  </w:style>
  <w:style w:type="character" w:styleId="ListLabel272">
    <w:name w:val="ListLabel 272"/>
    <w:qFormat/>
    <w:rPr>
      <w:color w:val="000000"/>
      <w:u w:val="none"/>
      <w:lang w:val="en-US"/>
    </w:rPr>
  </w:style>
  <w:style w:type="character" w:styleId="ListLabel273">
    <w:name w:val="ListLabel 273"/>
    <w:qFormat/>
    <w:rPr>
      <w:sz w:val="28"/>
      <w:szCs w:val="28"/>
    </w:rPr>
  </w:style>
  <w:style w:type="character" w:styleId="ListLabel274">
    <w:name w:val="ListLabel 274"/>
    <w:qFormat/>
    <w:rPr/>
  </w:style>
  <w:style w:type="character" w:styleId="ListLabel275">
    <w:name w:val="ListLabel 275"/>
    <w:qFormat/>
    <w:rPr/>
  </w:style>
  <w:style w:type="character" w:styleId="ListLabel276">
    <w:name w:val="ListLabel 276"/>
    <w:qFormat/>
    <w:rPr>
      <w:color w:val="000000"/>
      <w:sz w:val="28"/>
      <w:szCs w:val="28"/>
      <w:u w:val="none"/>
    </w:rPr>
  </w:style>
  <w:style w:type="character" w:styleId="ListLabel277">
    <w:name w:val="ListLabel 277"/>
    <w:qFormat/>
    <w:rPr>
      <w:color w:val="000000"/>
      <w:sz w:val="28"/>
      <w:szCs w:val="28"/>
      <w:u w:val="none"/>
      <w:lang w:val="en-US"/>
    </w:rPr>
  </w:style>
  <w:style w:type="character" w:styleId="ListLabel278">
    <w:name w:val="ListLabel 278"/>
    <w:qFormat/>
    <w:rPr>
      <w:color w:val="000000"/>
      <w:u w:val="none"/>
    </w:rPr>
  </w:style>
  <w:style w:type="character" w:styleId="ListLabel279">
    <w:name w:val="ListLabel 279"/>
    <w:qFormat/>
    <w:rPr>
      <w:color w:val="000000"/>
      <w:u w:val="none"/>
      <w:lang w:val="en-US"/>
    </w:rPr>
  </w:style>
  <w:style w:type="character" w:styleId="ListLabel280">
    <w:name w:val="ListLabel 280"/>
    <w:qFormat/>
    <w:rPr>
      <w:sz w:val="28"/>
      <w:szCs w:val="28"/>
    </w:rPr>
  </w:style>
  <w:style w:type="character" w:styleId="ListLabel281">
    <w:name w:val="ListLabel 281"/>
    <w:qFormat/>
    <w:rPr/>
  </w:style>
  <w:style w:type="character" w:styleId="ListLabel282">
    <w:name w:val="ListLabel 282"/>
    <w:qFormat/>
    <w:rPr/>
  </w:style>
  <w:style w:type="character" w:styleId="ListLabel283">
    <w:name w:val="ListLabel 283"/>
    <w:qFormat/>
    <w:rPr>
      <w:color w:val="000000"/>
      <w:sz w:val="28"/>
      <w:szCs w:val="28"/>
      <w:u w:val="none"/>
    </w:rPr>
  </w:style>
  <w:style w:type="character" w:styleId="ListLabel284">
    <w:name w:val="ListLabel 284"/>
    <w:qFormat/>
    <w:rPr>
      <w:color w:val="000000"/>
      <w:sz w:val="28"/>
      <w:szCs w:val="28"/>
      <w:u w:val="none"/>
      <w:lang w:val="en-US"/>
    </w:rPr>
  </w:style>
  <w:style w:type="character" w:styleId="ListLabel285">
    <w:name w:val="ListLabel 285"/>
    <w:qFormat/>
    <w:rPr>
      <w:color w:val="000000"/>
      <w:u w:val="none"/>
    </w:rPr>
  </w:style>
  <w:style w:type="character" w:styleId="ListLabel286">
    <w:name w:val="ListLabel 286"/>
    <w:qFormat/>
    <w:rPr>
      <w:color w:val="000000"/>
      <w:u w:val="none"/>
      <w:lang w:val="en-US"/>
    </w:rPr>
  </w:style>
  <w:style w:type="character" w:styleId="ListLabel287">
    <w:name w:val="ListLabel 287"/>
    <w:qFormat/>
    <w:rPr>
      <w:sz w:val="28"/>
      <w:szCs w:val="28"/>
    </w:rPr>
  </w:style>
  <w:style w:type="character" w:styleId="ListLabel288">
    <w:name w:val="ListLabel 288"/>
    <w:qFormat/>
    <w:rPr/>
  </w:style>
  <w:style w:type="character" w:styleId="ListLabel289">
    <w:name w:val="ListLabel 289"/>
    <w:qFormat/>
    <w:rPr/>
  </w:style>
  <w:style w:type="character" w:styleId="ListLabel290">
    <w:name w:val="ListLabel 290"/>
    <w:qFormat/>
    <w:rPr>
      <w:color w:val="000000"/>
      <w:sz w:val="28"/>
      <w:szCs w:val="28"/>
      <w:u w:val="none"/>
    </w:rPr>
  </w:style>
  <w:style w:type="character" w:styleId="ListLabel291">
    <w:name w:val="ListLabel 291"/>
    <w:qFormat/>
    <w:rPr>
      <w:color w:val="000000"/>
      <w:sz w:val="28"/>
      <w:szCs w:val="28"/>
      <w:u w:val="none"/>
      <w:lang w:val="en-US"/>
    </w:rPr>
  </w:style>
  <w:style w:type="character" w:styleId="ListLabel292">
    <w:name w:val="ListLabel 292"/>
    <w:qFormat/>
    <w:rPr>
      <w:color w:val="000000"/>
      <w:u w:val="none"/>
    </w:rPr>
  </w:style>
  <w:style w:type="character" w:styleId="ListLabel293">
    <w:name w:val="ListLabel 293"/>
    <w:qFormat/>
    <w:rPr>
      <w:color w:val="000000"/>
      <w:u w:val="none"/>
      <w:lang w:val="en-US"/>
    </w:rPr>
  </w:style>
  <w:style w:type="character" w:styleId="ListLabel294">
    <w:name w:val="ListLabel 294"/>
    <w:qFormat/>
    <w:rPr>
      <w:sz w:val="28"/>
      <w:szCs w:val="28"/>
    </w:rPr>
  </w:style>
  <w:style w:type="character" w:styleId="ListLabel295">
    <w:name w:val="ListLabel 295"/>
    <w:qFormat/>
    <w:rPr/>
  </w:style>
  <w:style w:type="character" w:styleId="ListLabel296">
    <w:name w:val="ListLabel 296"/>
    <w:qFormat/>
    <w:rPr/>
  </w:style>
  <w:style w:type="character" w:styleId="ListLabel297">
    <w:name w:val="ListLabel 297"/>
    <w:qFormat/>
    <w:rPr>
      <w:color w:val="000000"/>
      <w:sz w:val="28"/>
      <w:szCs w:val="28"/>
      <w:u w:val="none"/>
    </w:rPr>
  </w:style>
  <w:style w:type="character" w:styleId="ListLabel298">
    <w:name w:val="ListLabel 298"/>
    <w:qFormat/>
    <w:rPr>
      <w:color w:val="000000"/>
      <w:sz w:val="28"/>
      <w:szCs w:val="28"/>
      <w:u w:val="none"/>
      <w:lang w:val="en-US"/>
    </w:rPr>
  </w:style>
  <w:style w:type="character" w:styleId="ListLabel299">
    <w:name w:val="ListLabel 299"/>
    <w:qFormat/>
    <w:rPr>
      <w:color w:val="000000"/>
      <w:u w:val="none"/>
    </w:rPr>
  </w:style>
  <w:style w:type="character" w:styleId="ListLabel300">
    <w:name w:val="ListLabel 300"/>
    <w:qFormat/>
    <w:rPr>
      <w:color w:val="000000"/>
      <w:u w:val="none"/>
      <w:lang w:val="en-US"/>
    </w:rPr>
  </w:style>
  <w:style w:type="character" w:styleId="ListLabel301">
    <w:name w:val="ListLabel 301"/>
    <w:qFormat/>
    <w:rPr>
      <w:sz w:val="28"/>
      <w:szCs w:val="28"/>
    </w:rPr>
  </w:style>
  <w:style w:type="character" w:styleId="ListLabel302">
    <w:name w:val="ListLabel 302"/>
    <w:qFormat/>
    <w:rPr/>
  </w:style>
  <w:style w:type="character" w:styleId="ListLabel303">
    <w:name w:val="ListLabel 303"/>
    <w:qFormat/>
    <w:rPr/>
  </w:style>
  <w:style w:type="character" w:styleId="ListLabel304">
    <w:name w:val="ListLabel 304"/>
    <w:qFormat/>
    <w:rPr>
      <w:color w:val="000000"/>
      <w:sz w:val="28"/>
      <w:szCs w:val="28"/>
      <w:u w:val="none"/>
    </w:rPr>
  </w:style>
  <w:style w:type="character" w:styleId="ListLabel305">
    <w:name w:val="ListLabel 305"/>
    <w:qFormat/>
    <w:rPr>
      <w:color w:val="000000"/>
      <w:sz w:val="28"/>
      <w:szCs w:val="28"/>
      <w:u w:val="none"/>
      <w:lang w:val="en-US"/>
    </w:rPr>
  </w:style>
  <w:style w:type="character" w:styleId="ListLabel306">
    <w:name w:val="ListLabel 306"/>
    <w:qFormat/>
    <w:rPr>
      <w:color w:val="000000"/>
      <w:u w:val="none"/>
    </w:rPr>
  </w:style>
  <w:style w:type="character" w:styleId="ListLabel307">
    <w:name w:val="ListLabel 307"/>
    <w:qFormat/>
    <w:rPr>
      <w:color w:val="000000"/>
      <w:u w:val="none"/>
      <w:lang w:val="en-US"/>
    </w:rPr>
  </w:style>
  <w:style w:type="character" w:styleId="ListLabel308">
    <w:name w:val="ListLabel 308"/>
    <w:qFormat/>
    <w:rPr>
      <w:sz w:val="28"/>
      <w:szCs w:val="28"/>
    </w:rPr>
  </w:style>
  <w:style w:type="character" w:styleId="ListLabel309">
    <w:name w:val="ListLabel 309"/>
    <w:qFormat/>
    <w:rPr/>
  </w:style>
  <w:style w:type="character" w:styleId="ListLabel310">
    <w:name w:val="ListLabel 310"/>
    <w:qFormat/>
    <w:rPr/>
  </w:style>
  <w:style w:type="character" w:styleId="ListLabel311">
    <w:name w:val="ListLabel 311"/>
    <w:qFormat/>
    <w:rPr>
      <w:color w:val="000000"/>
      <w:sz w:val="28"/>
      <w:szCs w:val="28"/>
      <w:u w:val="none"/>
    </w:rPr>
  </w:style>
  <w:style w:type="character" w:styleId="ListLabel312">
    <w:name w:val="ListLabel 312"/>
    <w:qFormat/>
    <w:rPr>
      <w:color w:val="000000"/>
      <w:sz w:val="28"/>
      <w:szCs w:val="28"/>
      <w:u w:val="none"/>
      <w:lang w:val="en-US"/>
    </w:rPr>
  </w:style>
  <w:style w:type="character" w:styleId="ListLabel313">
    <w:name w:val="ListLabel 313"/>
    <w:qFormat/>
    <w:rPr>
      <w:color w:val="000000"/>
      <w:u w:val="none"/>
    </w:rPr>
  </w:style>
  <w:style w:type="character" w:styleId="ListLabel314">
    <w:name w:val="ListLabel 314"/>
    <w:qFormat/>
    <w:rPr>
      <w:color w:val="000000"/>
      <w:u w:val="none"/>
      <w:lang w:val="en-US"/>
    </w:rPr>
  </w:style>
  <w:style w:type="character" w:styleId="ListLabel315">
    <w:name w:val="ListLabel 315"/>
    <w:qFormat/>
    <w:rPr>
      <w:sz w:val="28"/>
      <w:szCs w:val="28"/>
    </w:rPr>
  </w:style>
  <w:style w:type="character" w:styleId="ListLabel316">
    <w:name w:val="ListLabel 316"/>
    <w:qFormat/>
    <w:rPr/>
  </w:style>
  <w:style w:type="character" w:styleId="ListLabel317">
    <w:name w:val="ListLabel 317"/>
    <w:qFormat/>
    <w:rPr/>
  </w:style>
  <w:style w:type="character" w:styleId="ListLabel318">
    <w:name w:val="ListLabel 318"/>
    <w:qFormat/>
    <w:rPr>
      <w:color w:val="000000"/>
      <w:sz w:val="28"/>
      <w:szCs w:val="28"/>
      <w:u w:val="none"/>
    </w:rPr>
  </w:style>
  <w:style w:type="character" w:styleId="ListLabel319">
    <w:name w:val="ListLabel 319"/>
    <w:qFormat/>
    <w:rPr>
      <w:color w:val="000000"/>
      <w:sz w:val="28"/>
      <w:szCs w:val="28"/>
      <w:u w:val="none"/>
      <w:lang w:val="en-US"/>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rsid w:val="005914c7"/>
    <w:pPr>
      <w:widowControl/>
      <w:spacing w:before="0" w:after="120"/>
      <w:ind w:left="0" w:hanging="0"/>
    </w:pPr>
    <w:rPr>
      <w:sz w:val="24"/>
      <w:szCs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consultantplus://offline/main?base=LAW;n=112770;fld=134;dst=102068" TargetMode="External"/><Relationship Id="rId4" Type="http://schemas.openxmlformats.org/officeDocument/2006/relationships/hyperlink" Target="http://utp.sberbank-ast.ru/" TargetMode="External"/><Relationship Id="rId5" Type="http://schemas.openxmlformats.org/officeDocument/2006/relationships/hyperlink" Target="http://utp.sberbank-ast.ru/" TargetMode="External"/><Relationship Id="rId6" Type="http://schemas.openxmlformats.org/officeDocument/2006/relationships/hyperlink" Target="consultantplus://offline/ref=A7C7550A2097A10F5680F3FCC98200D36F7317EDB12B68F3978A36D1E2A931FD7C620881F3695469m3nBK" TargetMode="External"/><Relationship Id="rId7" Type="http://schemas.openxmlformats.org/officeDocument/2006/relationships/hyperlink" Target="consultantplus://offline/main?base=LAW;n=112770;fld=134;dst=101017" TargetMode="External"/><Relationship Id="rId8" Type="http://schemas.openxmlformats.org/officeDocument/2006/relationships/hyperlink" Target="http://utp.sberbank-ast.ru/" TargetMode="External"/><Relationship Id="rId9" Type="http://schemas.openxmlformats.org/officeDocument/2006/relationships/hyperlink" Target="http://utp.sberbank-ast.ru/" TargetMode="External"/><Relationship Id="rId10" Type="http://schemas.openxmlformats.org/officeDocument/2006/relationships/hyperlink" Target="consultantplus://offline/ref=CD735DF92249256AE300504E09B27F3DF32C374B2F0972F77A2DE507B652ECF0F6C2D749h7H"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1539</TotalTime>
  <Application>LibreOffice/6.0.3.2$Windows_x86 LibreOffice_project/8f48d515416608e3a835360314dac7e47fd0b821</Application>
  <Pages>7</Pages>
  <Words>2423</Words>
  <Characters>17435</Characters>
  <CharactersWithSpaces>19848</CharactersWithSpaces>
  <Paragraphs>86</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2023-02-07T15:21:00Z</dcterms:created>
  <dc:creator>ЖубатоваМ</dc:creator>
  <dc:description/>
  <dc:language>ru-RU</dc:language>
  <cp:lastModifiedBy/>
  <cp:lastPrinted>2023-02-14T08:19:09Z</cp:lastPrinted>
  <dcterms:modified xsi:type="dcterms:W3CDTF">2023-07-31T13:42:17Z</dcterms:modified>
  <cp:revision>119</cp:revision>
  <dc:subject/>
  <dc:title>Постановление Правительства РФ от 27.08.2012 N 860(ред. от 22.12.2022)"Об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