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sz w:val="24"/>
          <w:szCs w:val="24"/>
        </w:rPr>
      </w:pPr>
      <w:r>
        <w:rPr>
          <w:sz w:val="24"/>
          <w:szCs w:val="24"/>
        </w:rPr>
        <w:t>Приложение №2</w:t>
      </w:r>
    </w:p>
    <w:p>
      <w:pPr>
        <w:pStyle w:val="Normal"/>
        <w:ind w:left="680" w:hanging="0"/>
        <w:jc w:val="right"/>
        <w:rPr>
          <w:sz w:val="24"/>
          <w:szCs w:val="24"/>
        </w:rPr>
      </w:pPr>
      <w:r>
        <w:rPr>
          <w:sz w:val="24"/>
          <w:szCs w:val="24"/>
        </w:rPr>
        <w:t>к протоколу заседания</w:t>
      </w:r>
    </w:p>
    <w:p>
      <w:pPr>
        <w:pStyle w:val="Normal"/>
        <w:ind w:left="680" w:hanging="0"/>
        <w:jc w:val="right"/>
        <w:rPr>
          <w:sz w:val="24"/>
          <w:szCs w:val="24"/>
        </w:rPr>
      </w:pPr>
      <w:r>
        <w:rPr>
          <w:sz w:val="24"/>
          <w:szCs w:val="24"/>
        </w:rPr>
        <w:t>комиссии по приватизации</w:t>
      </w:r>
    </w:p>
    <w:p>
      <w:pPr>
        <w:pStyle w:val="Normal"/>
        <w:ind w:left="680" w:hanging="0"/>
        <w:jc w:val="right"/>
        <w:rPr>
          <w:sz w:val="24"/>
          <w:szCs w:val="24"/>
        </w:rPr>
      </w:pPr>
      <w:r>
        <w:rPr>
          <w:sz w:val="24"/>
          <w:szCs w:val="24"/>
        </w:rPr>
        <w:t>от «28» марта 2023 г. №8</w:t>
      </w:r>
    </w:p>
    <w:p>
      <w:pPr>
        <w:pStyle w:val="Normal"/>
        <w:ind w:left="680" w:hanging="0"/>
        <w:jc w:val="right"/>
        <w:rPr>
          <w:sz w:val="20"/>
          <w:szCs w:val="20"/>
        </w:rPr>
      </w:pPr>
      <w:r>
        <w:rPr>
          <w:sz w:val="20"/>
          <w:szCs w:val="20"/>
        </w:rPr>
      </w:r>
    </w:p>
    <w:p>
      <w:pPr>
        <w:pStyle w:val="Normal"/>
        <w:jc w:val="center"/>
        <w:rPr>
          <w:b/>
          <w:b/>
        </w:rPr>
      </w:pPr>
      <w:r>
        <w:rPr>
          <w:b/>
        </w:rPr>
        <w:t>ИНФОРМАЦИОННОЕ СООБЩЕНИЕ</w:t>
      </w:r>
    </w:p>
    <w:p>
      <w:pPr>
        <w:pStyle w:val="Normal"/>
        <w:jc w:val="center"/>
        <w:rPr/>
      </w:pPr>
      <w:r>
        <w:rPr>
          <w:b/>
        </w:rPr>
        <w:t xml:space="preserve">о проведении продажи муниципального имущества </w:t>
      </w:r>
    </w:p>
    <w:p>
      <w:pPr>
        <w:pStyle w:val="Normal"/>
        <w:jc w:val="center"/>
        <w:rPr/>
      </w:pPr>
      <w:bookmarkStart w:id="0" w:name="__DdeLink__218_385081146"/>
      <w:r>
        <w:rPr>
          <w:b/>
        </w:rPr>
        <w:t xml:space="preserve"> </w:t>
      </w:r>
      <w:bookmarkEnd w:id="0"/>
      <w:r>
        <w:rPr>
          <w:b/>
        </w:rPr>
        <w:t>без объявления цены</w:t>
      </w:r>
    </w:p>
    <w:p>
      <w:pPr>
        <w:pStyle w:val="Normal"/>
        <w:jc w:val="center"/>
        <w:rPr>
          <w:b/>
          <w:b/>
          <w:sz w:val="20"/>
          <w:szCs w:val="20"/>
        </w:rPr>
      </w:pPr>
      <w:r>
        <w:rPr>
          <w:b/>
          <w:sz w:val="20"/>
          <w:szCs w:val="20"/>
        </w:rPr>
      </w:r>
    </w:p>
    <w:p>
      <w:pPr>
        <w:pStyle w:val="Normal"/>
        <w:ind w:left="0" w:firstLine="680"/>
        <w:jc w:val="both"/>
        <w:rPr/>
      </w:pPr>
      <w:r>
        <w:rPr>
          <w:sz w:val="28"/>
          <w:szCs w:val="28"/>
        </w:rPr>
        <w:t>Администрация Ровеньского района информирует о проведении продажи муниципального имущества Ровеньского района без объявления цены в электронной форме</w:t>
      </w:r>
      <w:r>
        <w:rPr/>
        <w:t xml:space="preserve">,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i w:val="false"/>
          <w:iCs w:val="false"/>
          <w:color w:val="000000"/>
          <w:sz w:val="28"/>
          <w:szCs w:val="28"/>
        </w:rPr>
        <w:t>Наименование органа местного самоуправления, принявшего решение о</w:t>
      </w:r>
      <w:r>
        <w:rPr>
          <w:rFonts w:eastAsia="Calibri" w:cs="Times New Roman" w:ascii="Times New Roman" w:hAnsi="Times New Roman"/>
          <w:b/>
          <w:i w:val="false"/>
          <w:iCs w:val="false"/>
          <w:color w:val="000000"/>
          <w:sz w:val="28"/>
          <w:szCs w:val="28"/>
          <w:lang w:eastAsia="en-US"/>
        </w:rPr>
        <w:t>б условиях приватизации муниципального имущества, реквизиты указанного решения:</w:t>
      </w:r>
      <w:r>
        <w:rPr>
          <w:i w:val="false"/>
          <w:iCs w:val="false"/>
          <w:color w:val="000000"/>
        </w:rPr>
        <w:t xml:space="preserve"> </w:t>
      </w:r>
      <w:r>
        <w:rPr>
          <w:rFonts w:cs="Times New Roman" w:ascii="Times New Roman" w:hAnsi="Times New Roman"/>
          <w:i w:val="false"/>
          <w:iCs w:val="false"/>
          <w:color w:val="000000"/>
          <w:sz w:val="28"/>
          <w:szCs w:val="28"/>
        </w:rPr>
        <w:t>Администрация Ровеньского района;</w:t>
      </w:r>
      <w:r>
        <w:rPr>
          <w:i w:val="false"/>
          <w:iCs w:val="false"/>
          <w:color w:val="000000"/>
        </w:rPr>
        <w:t xml:space="preserve"> </w:t>
      </w:r>
      <w:r>
        <w:rPr>
          <w:rFonts w:cs="Times New Roman" w:ascii="Times New Roman" w:hAnsi="Times New Roman"/>
          <w:i w:val="false"/>
          <w:iCs w:val="false"/>
          <w:color w:val="000000"/>
          <w:sz w:val="28"/>
          <w:szCs w:val="28"/>
        </w:rPr>
        <w:t xml:space="preserve">постановление от             </w:t>
      </w:r>
      <w:r>
        <w:rPr>
          <w:rFonts w:cs="Times New Roman" w:ascii="Times New Roman" w:hAnsi="Times New Roman"/>
          <w:i w:val="false"/>
          <w:iCs w:val="false"/>
          <w:color w:val="000000"/>
          <w:sz w:val="28"/>
          <w:szCs w:val="28"/>
          <w:highlight w:val="yellow"/>
        </w:rPr>
        <w:t xml:space="preserve"> </w:t>
      </w:r>
      <w:r>
        <w:rPr>
          <w:rFonts w:cs="Times New Roman" w:ascii="Times New Roman" w:hAnsi="Times New Roman"/>
          <w:i w:val="false"/>
          <w:iCs w:val="false"/>
          <w:color w:val="000000"/>
          <w:sz w:val="28"/>
          <w:szCs w:val="28"/>
        </w:rPr>
        <w:t>28 марта 2023 года № 127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pPr>
      <w:r>
        <w:rPr>
          <w:b/>
        </w:rPr>
        <w:t>Наименование и характеристика имущества:</w:t>
      </w:r>
    </w:p>
    <w:p>
      <w:pPr>
        <w:pStyle w:val="Style18"/>
        <w:tabs>
          <w:tab w:val="left" w:pos="851" w:leader="none"/>
        </w:tabs>
        <w:spacing w:before="0" w:after="0"/>
        <w:jc w:val="both"/>
        <w:rPr/>
      </w:pPr>
      <w:r>
        <w:rPr>
          <w:rFonts w:cs="Times New Roman"/>
          <w:b w:val="false"/>
          <w:bCs w:val="false"/>
          <w:color w:val="000000"/>
          <w:spacing w:val="-2"/>
          <w:sz w:val="28"/>
          <w:szCs w:val="28"/>
          <w:lang w:val="ru-RU"/>
        </w:rPr>
        <w:tab/>
        <w:t xml:space="preserve">Лот №1 - </w:t>
      </w:r>
      <w:bookmarkStart w:id="1" w:name="__DdeLink__245_1618794082"/>
      <w:r>
        <w:rPr>
          <w:rFonts w:cs="Times New Roman"/>
          <w:b w:val="false"/>
          <w:bCs w:val="false"/>
          <w:color w:val="000000"/>
          <w:spacing w:val="-2"/>
          <w:sz w:val="28"/>
          <w:szCs w:val="28"/>
          <w:lang w:val="ru-RU"/>
        </w:rPr>
        <w:t>автобус для перевозки детей марки ПАЗ</w:t>
      </w:r>
      <w:bookmarkEnd w:id="1"/>
      <w:r>
        <w:rPr>
          <w:rFonts w:cs="Times New Roman"/>
          <w:b w:val="false"/>
          <w:bCs w:val="false"/>
          <w:color w:val="000000"/>
          <w:spacing w:val="-2"/>
          <w:sz w:val="28"/>
          <w:szCs w:val="28"/>
          <w:lang w:val="ru-RU"/>
        </w:rPr>
        <w:t xml:space="preserve"> 32053-70, 2008 года изготовления, идентификационный номер (</w:t>
      </w:r>
      <w:r>
        <w:rPr>
          <w:rFonts w:cs="Times New Roman"/>
          <w:b w:val="false"/>
          <w:bCs w:val="false"/>
          <w:color w:val="000000"/>
          <w:spacing w:val="-2"/>
          <w:sz w:val="28"/>
          <w:szCs w:val="28"/>
          <w:lang w:val="en-US"/>
        </w:rPr>
        <w:t>VIN</w:t>
      </w:r>
      <w:r>
        <w:rPr>
          <w:rFonts w:cs="Times New Roman"/>
          <w:b w:val="false"/>
          <w:bCs w:val="false"/>
          <w:color w:val="000000"/>
          <w:spacing w:val="-2"/>
          <w:sz w:val="28"/>
          <w:szCs w:val="28"/>
          <w:lang w:val="ru-RU"/>
        </w:rPr>
        <w:t xml:space="preserve">) </w:t>
      </w:r>
      <w:r>
        <w:rPr>
          <w:rFonts w:cs="Times New Roman"/>
          <w:b w:val="false"/>
          <w:bCs w:val="false"/>
          <w:color w:val="000000"/>
          <w:spacing w:val="-2"/>
          <w:sz w:val="28"/>
          <w:szCs w:val="28"/>
          <w:lang w:val="en-US"/>
        </w:rPr>
        <w:t>X1</w:t>
      </w:r>
      <w:r>
        <w:rPr>
          <w:rFonts w:cs="Times New Roman"/>
          <w:b w:val="false"/>
          <w:bCs w:val="false"/>
          <w:color w:val="000000"/>
          <w:spacing w:val="-2"/>
          <w:sz w:val="28"/>
          <w:szCs w:val="28"/>
          <w:lang w:val="ru-RU"/>
        </w:rPr>
        <w:t xml:space="preserve">М3205СХ80008106, модель, № двигателя 523400, 81018514, кузов (кабина, прицеп) № </w:t>
      </w:r>
      <w:r>
        <w:rPr>
          <w:rFonts w:cs="Times New Roman"/>
          <w:b w:val="false"/>
          <w:bCs w:val="false"/>
          <w:color w:val="000000"/>
          <w:spacing w:val="-2"/>
          <w:sz w:val="28"/>
          <w:szCs w:val="28"/>
          <w:lang w:val="en-US"/>
        </w:rPr>
        <w:t>X1</w:t>
      </w:r>
      <w:r>
        <w:rPr>
          <w:rFonts w:cs="Times New Roman"/>
          <w:b w:val="false"/>
          <w:bCs w:val="false"/>
          <w:color w:val="000000"/>
          <w:spacing w:val="-2"/>
          <w:sz w:val="28"/>
          <w:szCs w:val="28"/>
          <w:lang w:val="ru-RU"/>
        </w:rPr>
        <w:t xml:space="preserve">М3205СХ80008106, цвет кузова (кабины, прицепа) желтый,  мощность двигателя 130 л.с.,  рабочий объем двигателя 4670 куб.см, тип двигателя – бензиновый, разрешенная максимальная масса 6270 кг, масса без нагрузки 5080 кг, паспорт транспортного средства 52 МР 287245, выдан ООО «Павловский автобусный завод» г.Павлово Нижегородской обл., ул.Суворова, 1, дата выдачи 27 августа 2008 года, </w:t>
      </w:r>
      <w:r>
        <w:rPr>
          <w:rFonts w:cs="Times New Roman"/>
          <w:b w:val="false"/>
          <w:bCs w:val="false"/>
          <w:color w:val="000000"/>
          <w:spacing w:val="-2"/>
          <w:sz w:val="28"/>
          <w:szCs w:val="28"/>
          <w:lang w:val="ru-RU"/>
        </w:rPr>
        <w:t>(</w:t>
      </w:r>
      <w:bookmarkStart w:id="2" w:name="__DdeLink__199_2199984011"/>
      <w:r>
        <w:rPr>
          <w:rFonts w:cs="Times New Roman"/>
          <w:b w:val="false"/>
          <w:bCs w:val="false"/>
          <w:color w:val="000000"/>
          <w:spacing w:val="-2"/>
          <w:sz w:val="28"/>
          <w:szCs w:val="28"/>
          <w:lang w:val="ru-RU"/>
        </w:rPr>
        <w:t xml:space="preserve">не на ходу - </w:t>
      </w:r>
      <w:r>
        <w:rPr>
          <w:rFonts w:cs="Times New Roman"/>
          <w:b w:val="false"/>
          <w:bCs w:val="false"/>
          <w:color w:val="000000"/>
          <w:spacing w:val="-2"/>
          <w:sz w:val="28"/>
          <w:szCs w:val="28"/>
          <w:lang w:val="ru-RU"/>
        </w:rPr>
        <w:t>требуется ремонт</w:t>
      </w:r>
      <w:bookmarkEnd w:id="2"/>
      <w:r>
        <w:rPr>
          <w:rFonts w:cs="Times New Roman"/>
          <w:b w:val="false"/>
          <w:bCs w:val="false"/>
          <w:color w:val="000000"/>
          <w:spacing w:val="-2"/>
          <w:sz w:val="28"/>
          <w:szCs w:val="28"/>
          <w:lang w:val="ru-RU"/>
        </w:rPr>
        <w:t>)</w:t>
      </w:r>
      <w:r>
        <w:rPr>
          <w:rFonts w:cs="Times New Roman"/>
          <w:b w:val="false"/>
          <w:bCs w:val="false"/>
          <w:color w:val="000000"/>
          <w:spacing w:val="-2"/>
          <w:sz w:val="28"/>
          <w:szCs w:val="28"/>
          <w:lang w:val="ru-RU"/>
        </w:rPr>
        <w:t>.</w:t>
      </w:r>
    </w:p>
    <w:p>
      <w:pPr>
        <w:pStyle w:val="Style18"/>
        <w:tabs>
          <w:tab w:val="left" w:pos="851" w:leader="none"/>
        </w:tabs>
        <w:spacing w:before="0" w:after="0"/>
        <w:jc w:val="both"/>
        <w:rPr/>
      </w:pPr>
      <w:r>
        <w:rPr>
          <w:b/>
          <w:bCs/>
          <w:sz w:val="28"/>
          <w:szCs w:val="28"/>
        </w:rPr>
        <w:tab/>
        <w:t>Способ приватизации:</w:t>
      </w:r>
      <w:r>
        <w:rPr>
          <w:bCs/>
          <w:sz w:val="28"/>
          <w:szCs w:val="28"/>
        </w:rPr>
        <w:t xml:space="preserve"> продажа муниципального имущества без объявления цены</w:t>
      </w:r>
      <w:r>
        <w:rPr>
          <w:sz w:val="28"/>
          <w:szCs w:val="28"/>
        </w:rPr>
        <w:t>.</w:t>
      </w:r>
    </w:p>
    <w:p>
      <w:pPr>
        <w:pStyle w:val="Normal"/>
        <w:tabs>
          <w:tab w:val="left" w:pos="0" w:leader="none"/>
        </w:tabs>
        <w:ind w:left="0" w:firstLine="709"/>
        <w:jc w:val="both"/>
        <w:rPr/>
      </w:pPr>
      <w:r>
        <w:rPr>
          <w:b/>
          <w:bCs/>
        </w:rPr>
        <w:t>Форма подачи предложений о цене</w:t>
      </w:r>
      <w:r>
        <w:rPr>
          <w:bCs/>
        </w:rPr>
        <w:t>: Предложение о цене имущества подается в форме отдельного электронного документа, которому оператор электронной площадки обеспечивает дополнительную степень защиты от несанкционированного просмотра.</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w:t>
      </w:r>
      <w:bookmarkStart w:id="3" w:name="__DdeLink__267_1200119388"/>
      <w:r>
        <w:rPr/>
        <w:t xml:space="preserve">Денежные средства в счет оплаты муниципального имущества </w:t>
      </w:r>
      <w:r>
        <w:rPr>
          <w:color w:val="000000"/>
        </w:rPr>
        <w:t>подлежат перечислению победителем в установленном порядке в бюджет не позднее 30 рабочих дней со дня заключения договора купли-продажи</w:t>
      </w:r>
      <w:bookmarkEnd w:id="3"/>
      <w:r>
        <w:rPr>
          <w:color w:val="000000"/>
        </w:rPr>
        <w:t xml:space="preserve"> по реквизитам: </w:t>
      </w:r>
    </w:p>
    <w:p>
      <w:pPr>
        <w:pStyle w:val="Normal"/>
        <w:widowControl/>
        <w:numPr>
          <w:ilvl w:val="0"/>
          <w:numId w:val="0"/>
        </w:numPr>
        <w:tabs>
          <w:tab w:val="left" w:pos="0" w:leader="none"/>
        </w:tabs>
        <w:ind w:left="0" w:firstLine="709"/>
        <w:jc w:val="both"/>
        <w:outlineLvl w:val="1"/>
        <w:rPr/>
      </w:pPr>
      <w:r>
        <w:rPr>
          <w:rFonts w:cs="Times New Roman"/>
          <w:color w:val="000000"/>
          <w:sz w:val="28"/>
          <w:szCs w:val="28"/>
        </w:rPr>
        <w:t xml:space="preserve">УФК по Белгородской области (04263009370 Администрация Ровеньского района) ИНН 3117001001, КПП 311701001 </w:t>
      </w:r>
      <w:r>
        <w:rPr>
          <w:rFonts w:cs="Times New Roman"/>
          <w:b w:val="false"/>
          <w:bCs w:val="false"/>
          <w:color w:val="000000"/>
          <w:sz w:val="28"/>
          <w:szCs w:val="28"/>
        </w:rPr>
        <w:t>р/сч: 03100643000000012600, кор/сч:</w:t>
      </w:r>
      <w:r>
        <w:rPr>
          <w:rFonts w:cs="Times New Roman"/>
          <w:b w:val="false"/>
          <w:bCs w:val="false"/>
          <w:color w:val="000000"/>
          <w:sz w:val="28"/>
          <w:szCs w:val="28"/>
          <w:lang w:val="en-US"/>
        </w:rPr>
        <w:t xml:space="preserve"> 40102810745370000018, </w:t>
      </w:r>
      <w:r>
        <w:rPr>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__________20___г. № _____. </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color w:val="0066B3"/>
        </w:rPr>
      </w:pPr>
      <w:r>
        <w:rPr>
          <w:b/>
          <w:color w:val="000000"/>
        </w:rPr>
        <w:t xml:space="preserve">Размер задатка, сроки и порядок внесения и возвращения задатка, назначение платежа, реквизиты счетов: </w:t>
      </w:r>
      <w:r>
        <w:rPr>
          <w:b w:val="false"/>
          <w:bCs w:val="false"/>
          <w:i w:val="false"/>
          <w:iCs w:val="false"/>
          <w:color w:val="000000"/>
          <w:sz w:val="28"/>
          <w:szCs w:val="28"/>
        </w:rPr>
        <w:t>Внесение задатка не предусматривается.</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продаже без объявления цены электронной форме претендентам необходимо пройти процедуру регистрации на сайте </w:t>
      </w:r>
      <w:hyperlink r:id="rId3">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pPr>
      <w:r>
        <w:rPr>
          <w:b/>
        </w:rPr>
        <w:t>Порядок, место, даты начала и окончания подачи заявок на участие в продаже без объявления цены:</w:t>
      </w:r>
    </w:p>
    <w:p>
      <w:pPr>
        <w:pStyle w:val="Normal"/>
        <w:widowControl/>
        <w:numPr>
          <w:ilvl w:val="0"/>
          <w:numId w:val="0"/>
        </w:numPr>
        <w:ind w:left="0" w:firstLine="680"/>
        <w:jc w:val="both"/>
        <w:outlineLvl w:val="1"/>
        <w:rPr/>
      </w:pPr>
      <w:r>
        <w:rPr/>
        <w:t>З</w:t>
      </w:r>
      <w:r>
        <w:rPr>
          <w:b w:val="false"/>
          <w:bCs w:val="false"/>
        </w:rPr>
        <w:t xml:space="preserve">аявки на участие в  продаже муниципального имуществом </w:t>
      </w:r>
      <w:bookmarkStart w:id="4" w:name="__DdeLink__218_3850811461"/>
      <w:r>
        <w:rPr>
          <w:b w:val="false"/>
          <w:bCs w:val="false"/>
        </w:rPr>
        <w:t>б</w:t>
      </w:r>
      <w:bookmarkEnd w:id="4"/>
      <w:r>
        <w:rPr>
          <w:b w:val="false"/>
          <w:bCs w:val="false"/>
        </w:rPr>
        <w:t>ез объявления цены</w:t>
      </w:r>
      <w:r>
        <w:rPr/>
        <w:t xml:space="preserve"> принимаются (согласно приложения №1) на торговой площадке АО «Сбербанк – </w:t>
      </w:r>
      <w:r>
        <w:rPr>
          <w:i w:val="false"/>
          <w:iCs w:val="false"/>
          <w:color w:val="000000"/>
        </w:rPr>
        <w:t>АСТ» с 00:00 04 апреля 2023 г. по 23:00 10 мая 2023г. включительно, без</w:t>
      </w:r>
      <w:r>
        <w:rPr>
          <w:color w:val="000000"/>
        </w:rPr>
        <w:t xml:space="preserve"> перерыва и выходных по адресу: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color w:val="000000"/>
        </w:rPr>
        <w:t xml:space="preserve">. </w:t>
      </w:r>
    </w:p>
    <w:p>
      <w:pPr>
        <w:pStyle w:val="Normal"/>
        <w:widowControl/>
        <w:numPr>
          <w:ilvl w:val="0"/>
          <w:numId w:val="0"/>
        </w:numPr>
        <w:ind w:left="0" w:firstLine="680"/>
        <w:jc w:val="both"/>
        <w:outlineLvl w:val="1"/>
        <w:rPr>
          <w:color w:val="000000"/>
        </w:rPr>
      </w:pPr>
      <w:r>
        <w:rPr>
          <w:color w:val="000000"/>
        </w:rPr>
        <w:t>В день подведения итогов продажи муниципального имущества без объявления цены оператор электронной площадки через «личный кабинет» продавца обеспечивает доступ продавца к поданным претендентами документам, а также к журналу приема заявок.</w:t>
      </w:r>
    </w:p>
    <w:p>
      <w:pPr>
        <w:pStyle w:val="Normal"/>
        <w:widowControl/>
        <w:numPr>
          <w:ilvl w:val="0"/>
          <w:numId w:val="0"/>
        </w:numPr>
        <w:ind w:left="0" w:firstLine="680"/>
        <w:jc w:val="both"/>
        <w:outlineLvl w:val="1"/>
        <w:rPr>
          <w:color w:val="000000"/>
        </w:rPr>
      </w:pPr>
      <w:r>
        <w:rPr>
          <w:color w:val="000000"/>
        </w:rPr>
        <w:t>В закрытой части электронной площадки размещаются имена (наименования) участников и поданные ими предложения о цене имущества.</w:t>
      </w:r>
    </w:p>
    <w:p>
      <w:pPr>
        <w:pStyle w:val="Normal"/>
        <w:widowControl/>
        <w:numPr>
          <w:ilvl w:val="0"/>
          <w:numId w:val="0"/>
        </w:numPr>
        <w:ind w:left="0" w:firstLine="680"/>
        <w:jc w:val="both"/>
        <w:outlineLvl w:val="1"/>
        <w:rPr>
          <w:color w:val="0066B3"/>
        </w:rPr>
      </w:pPr>
      <w:r>
        <w:rPr>
          <w:color w:val="000000"/>
        </w:rPr>
        <w:t>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продажи имущества без объявления цены, а также направляют свои предложения о цене имущества.</w:t>
      </w:r>
    </w:p>
    <w:p>
      <w:pPr>
        <w:pStyle w:val="Normal"/>
        <w:widowControl/>
        <w:numPr>
          <w:ilvl w:val="0"/>
          <w:numId w:val="0"/>
        </w:numPr>
        <w:ind w:left="0" w:firstLine="680"/>
        <w:jc w:val="both"/>
        <w:outlineLvl w:val="1"/>
        <w:rPr>
          <w:color w:val="0066B3"/>
        </w:rPr>
      </w:pPr>
      <w:r>
        <w:rPr>
          <w:color w:val="000000"/>
        </w:rPr>
        <w:t>Зарегистрированная заявка является поступившим продавцу предложением (офертой) претендента, выражающим его намерение считать себя лицом, заключившим с продавцом договор купли-продажи имущества по предлагаемой претендентом цене имущества.</w:t>
      </w:r>
    </w:p>
    <w:p>
      <w:pPr>
        <w:pStyle w:val="Normal"/>
        <w:widowControl/>
        <w:numPr>
          <w:ilvl w:val="0"/>
          <w:numId w:val="0"/>
        </w:numPr>
        <w:ind w:left="0" w:firstLine="680"/>
        <w:jc w:val="both"/>
        <w:outlineLvl w:val="1"/>
        <w:rPr>
          <w:color w:val="0066B3"/>
        </w:rPr>
      </w:pPr>
      <w:r>
        <w:rPr>
          <w:color w:val="000000"/>
        </w:rPr>
        <w:t>Претендент не вправе отозвать зарегистрированную заявку. Претендент вправе подать только одно предложение по цене имущества, которое не может быть изменено.</w:t>
      </w:r>
    </w:p>
    <w:p>
      <w:pPr>
        <w:pStyle w:val="Normal"/>
        <w:widowControl/>
        <w:numPr>
          <w:ilvl w:val="0"/>
          <w:numId w:val="0"/>
        </w:numPr>
        <w:ind w:left="0" w:firstLine="680"/>
        <w:jc w:val="both"/>
        <w:outlineLvl w:val="1"/>
        <w:rPr>
          <w:color w:val="0066B3"/>
        </w:rPr>
      </w:pPr>
      <w:r>
        <w:rPr>
          <w:color w:val="000000"/>
        </w:rPr>
        <w:t>Продавец отказывает претенденту в приеме заявок в следующих случаях:</w:t>
      </w:r>
    </w:p>
    <w:p>
      <w:pPr>
        <w:pStyle w:val="Normal"/>
        <w:widowControl/>
        <w:numPr>
          <w:ilvl w:val="0"/>
          <w:numId w:val="0"/>
        </w:numPr>
        <w:ind w:left="0" w:firstLine="680"/>
        <w:jc w:val="both"/>
        <w:outlineLvl w:val="1"/>
        <w:rPr>
          <w:color w:val="0066B3"/>
        </w:rPr>
      </w:pPr>
      <w:r>
        <w:rPr>
          <w:color w:val="000000"/>
        </w:rPr>
        <w:t>- заявка представлена лицом, не уполномоченным претендентом на осуществления таких действий;</w:t>
      </w:r>
    </w:p>
    <w:p>
      <w:pPr>
        <w:pStyle w:val="Normal"/>
        <w:widowControl/>
        <w:numPr>
          <w:ilvl w:val="0"/>
          <w:numId w:val="0"/>
        </w:numPr>
        <w:ind w:left="0" w:firstLine="680"/>
        <w:jc w:val="both"/>
        <w:outlineLvl w:val="1"/>
        <w:rPr>
          <w:color w:val="0066B3"/>
        </w:rPr>
      </w:pPr>
      <w:r>
        <w:rPr>
          <w:color w:val="000000"/>
        </w:rPr>
        <w:t>- представлены не все документы, предусмотренные перечнем, указанным в информационным сообщении о продаже имущества без объявления цены;</w:t>
      </w:r>
    </w:p>
    <w:p>
      <w:pPr>
        <w:pStyle w:val="Normal"/>
        <w:widowControl/>
        <w:numPr>
          <w:ilvl w:val="0"/>
          <w:numId w:val="0"/>
        </w:numPr>
        <w:ind w:left="0" w:firstLine="680"/>
        <w:jc w:val="both"/>
        <w:outlineLvl w:val="1"/>
        <w:rPr>
          <w:color w:val="000000"/>
        </w:rPr>
      </w:pPr>
      <w:r>
        <w:rPr>
          <w:color w:val="000000"/>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w:t>
      </w:r>
      <w:r>
        <w:rPr>
          <w:highlight w:val="yellow"/>
        </w:rPr>
        <w:t xml:space="preserve"> </w:t>
      </w:r>
      <w:r>
        <w:rPr/>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5">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pPr>
      <w:r>
        <w:rPr/>
        <w:t xml:space="preserve">Также претенденты направляют свои предложения о цене </w:t>
      </w:r>
      <w:r>
        <w:rPr>
          <w:color w:val="000000"/>
        </w:rPr>
        <w:t>(Приложения №2).</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rFonts w:eastAsia="Times New Roman" w:cs="Times New Roman"/>
          <w:b/>
          <w:bCs/>
          <w:color w:val="00000A"/>
          <w:spacing w:val="0"/>
          <w:sz w:val="28"/>
          <w:szCs w:val="28"/>
          <w:shd w:fill="auto" w:val="clear"/>
        </w:rPr>
        <w:t>Дата рассмотрения заявок, предложений и документов претендентов продажи муниципального имущества без объявления цены и подведения итогов продажи -12 мая</w:t>
      </w:r>
      <w:r>
        <w:rPr>
          <w:rFonts w:eastAsia="Times New Roman" w:cs="Times New Roman"/>
          <w:b/>
          <w:bCs/>
          <w:color w:val="00000A"/>
          <w:spacing w:val="0"/>
          <w:sz w:val="28"/>
          <w:szCs w:val="28"/>
        </w:rPr>
        <w:t xml:space="preserve"> 2023 года в 08:00.</w:t>
      </w:r>
    </w:p>
    <w:p>
      <w:pPr>
        <w:pStyle w:val="Normal"/>
        <w:ind w:left="0" w:firstLine="680"/>
        <w:jc w:val="both"/>
        <w:rPr/>
      </w:pPr>
      <w:r>
        <w:rPr>
          <w:b/>
        </w:rPr>
        <w:t>Место проведения продажи без объявления цены:</w:t>
      </w:r>
      <w:r>
        <w:rPr/>
        <w:t xml:space="preserve"> электронная площадка - УТП АО «Сбербанк – АСТ» на сайте </w:t>
      </w:r>
      <w:hyperlink r:id="rId6">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color w:val="000000"/>
        </w:rPr>
      </w:pPr>
      <w:r>
        <w:rPr>
          <w:b/>
          <w:color w:val="000000"/>
        </w:rPr>
        <w:t>Правила проведения продажи без объявления цены:</w:t>
      </w:r>
      <w:r>
        <w:rPr>
          <w:color w:val="000000"/>
        </w:rPr>
        <w:t xml:space="preserve"> </w:t>
      </w:r>
      <w:r>
        <w:rPr>
          <w:rFonts w:ascii="Arial" w:hAnsi="Arial"/>
          <w:b w:val="false"/>
          <w:i w:val="false"/>
          <w:strike w:val="false"/>
          <w:dstrike w:val="false"/>
          <w:color w:val="000000"/>
          <w:sz w:val="20"/>
          <w:u w:val="none"/>
        </w:rPr>
        <w:t xml:space="preserve"> </w:t>
      </w:r>
    </w:p>
    <w:p>
      <w:pPr>
        <w:pStyle w:val="Normal"/>
        <w:widowControl/>
        <w:numPr>
          <w:ilvl w:val="0"/>
          <w:numId w:val="0"/>
        </w:numPr>
        <w:ind w:left="0" w:firstLine="680"/>
        <w:jc w:val="both"/>
        <w:outlineLvl w:val="1"/>
        <w:rPr>
          <w:color w:val="000000"/>
        </w:rPr>
      </w:pPr>
      <w:r>
        <w:rPr>
          <w:color w:val="000000"/>
        </w:rPr>
        <w:t>В день подведения итогов продажи муниципального имущества без объявления цены оператор электронной площадки через «личный кабинет» продавца обеспечивает доступ продавца к поданным претендентами документам, а также к журналу приема заявок.</w:t>
      </w:r>
    </w:p>
    <w:p>
      <w:pPr>
        <w:pStyle w:val="Normal"/>
        <w:widowControl/>
        <w:numPr>
          <w:ilvl w:val="0"/>
          <w:numId w:val="0"/>
        </w:numPr>
        <w:ind w:left="0" w:firstLine="680"/>
        <w:jc w:val="both"/>
        <w:outlineLvl w:val="1"/>
        <w:rPr>
          <w:color w:val="CE181E"/>
        </w:rPr>
      </w:pPr>
      <w:r>
        <w:rPr>
          <w:b w:val="false"/>
          <w:i w:val="false"/>
          <w:strike w:val="false"/>
          <w:dstrike w:val="false"/>
          <w:color w:val="000000"/>
          <w:sz w:val="28"/>
          <w:szCs w:val="28"/>
          <w:u w:val="none"/>
        </w:rPr>
        <w:t>В закрытой части электронной площадки размещаются имена (наименования) участников и поданные ими предложения о цене имущества.</w:t>
      </w:r>
    </w:p>
    <w:p>
      <w:pPr>
        <w:pStyle w:val="Normal"/>
        <w:widowControl/>
        <w:numPr>
          <w:ilvl w:val="0"/>
          <w:numId w:val="0"/>
        </w:numPr>
        <w:ind w:left="0" w:firstLine="680"/>
        <w:jc w:val="both"/>
        <w:outlineLvl w:val="1"/>
        <w:rPr/>
      </w:pPr>
      <w:r>
        <w:rPr>
          <w:b/>
          <w:color w:val="000000"/>
        </w:rPr>
        <w:t>Срок заключения договора купли-продажи:</w:t>
      </w:r>
      <w:r>
        <w:rPr>
          <w:color w:val="000000"/>
        </w:rPr>
        <w:t xml:space="preserve"> Договор купли-продажи имущества заключается в течение 5 рабочих дней со дня подведения итогов продажи имущества без объявления цены.</w:t>
      </w:r>
    </w:p>
    <w:p>
      <w:pPr>
        <w:pStyle w:val="Normal"/>
        <w:widowControl/>
        <w:numPr>
          <w:ilvl w:val="0"/>
          <w:numId w:val="0"/>
        </w:numPr>
        <w:ind w:left="0" w:firstLine="680"/>
        <w:jc w:val="both"/>
        <w:outlineLvl w:val="1"/>
        <w:rPr>
          <w:color w:val="000000"/>
        </w:rPr>
      </w:pPr>
      <w:r>
        <w:rPr>
          <w:color w:val="000000"/>
        </w:rPr>
        <w:t>При уклонении покупателя от заключения договора купли — продажи имущества в установленный срок покупатель утрачивает право на заключение такого договора. В этом случае продажа имущества без объявления цены признается несостоявшейся.</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фициальным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7">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 xml:space="preserve">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w:t>
      </w:r>
      <w:r>
        <w:rPr>
          <w:color w:val="000000"/>
        </w:rPr>
        <w:t>позднее 27 апреля 2023 года.</w:t>
      </w:r>
    </w:p>
    <w:p>
      <w:pPr>
        <w:pStyle w:val="Normal"/>
        <w:numPr>
          <w:ilvl w:val="0"/>
          <w:numId w:val="0"/>
        </w:numPr>
        <w:ind w:left="0" w:firstLine="680"/>
        <w:jc w:val="both"/>
        <w:outlineLvl w:val="1"/>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pPr>
        <w:pStyle w:val="Normal"/>
        <w:numPr>
          <w:ilvl w:val="0"/>
          <w:numId w:val="0"/>
        </w:numPr>
        <w:ind w:left="0" w:firstLine="680"/>
        <w:jc w:val="both"/>
        <w:outlineLvl w:val="1"/>
        <w:rPr/>
      </w:pPr>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07 апреля 2023 года, 14 апреля 2023 года, 21 апреля 2023 года, 28 апреля 2023 года.  Для</w:t>
      </w:r>
      <w:bookmarkStart w:id="5" w:name="_GoBack"/>
      <w:bookmarkEnd w:id="5"/>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goncharova_yv@ro.belregion.ru</w:t>
      </w:r>
      <w:r>
        <w:rPr>
          <w:b w:val="false"/>
          <w:bCs w:val="false"/>
          <w:i w:val="false"/>
          <w:iCs w:val="false"/>
          <w:color w:val="000000"/>
        </w:rPr>
        <w:t xml:space="preserve"> запрос по форме (Приложение №4).</w:t>
      </w:r>
    </w:p>
    <w:p>
      <w:pPr>
        <w:pStyle w:val="Normal"/>
        <w:ind w:left="0" w:firstLine="680"/>
        <w:jc w:val="both"/>
        <w:rPr>
          <w:highlight w:val="yellow"/>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w:t>
      </w:r>
      <w:r>
        <w:rPr>
          <w:color w:val="000000"/>
        </w:rPr>
        <w:t xml:space="preserve">в </w:t>
      </w:r>
      <w:r>
        <w:rPr/>
        <w:t xml:space="preserve"> продаже муниципального имущества допускаются любые физические и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8">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6"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6"/>
    </w:p>
    <w:p>
      <w:pPr>
        <w:pStyle w:val="Normal"/>
        <w:widowControl/>
        <w:numPr>
          <w:ilvl w:val="0"/>
          <w:numId w:val="0"/>
        </w:numPr>
        <w:ind w:left="0" w:firstLine="680"/>
        <w:jc w:val="both"/>
        <w:outlineLvl w:val="1"/>
        <w:rPr/>
      </w:pPr>
      <w:r>
        <w:rPr>
          <w:b/>
        </w:rPr>
        <w:t>Порядок определения победителей:</w:t>
      </w:r>
      <w:r>
        <w:rPr/>
        <w:t xml:space="preserve"> </w:t>
      </w:r>
    </w:p>
    <w:p>
      <w:pPr>
        <w:pStyle w:val="Normal"/>
        <w:widowControl/>
        <w:numPr>
          <w:ilvl w:val="0"/>
          <w:numId w:val="0"/>
        </w:numPr>
        <w:ind w:left="0" w:firstLine="680"/>
        <w:jc w:val="both"/>
        <w:outlineLvl w:val="1"/>
        <w:rPr>
          <w:color w:val="21409A"/>
          <w:lang w:val="ru-RU"/>
        </w:rPr>
      </w:pPr>
      <w:r>
        <w:rPr>
          <w:color w:val="000000"/>
          <w:lang w:val="ru-RU"/>
        </w:rPr>
        <w:t>По результатам рассмотрения заявок и прилагаемым к ним документов продавец принимает по каждой зарегистрированной заявке отдельное решение о рассмотрении предложения о цене имущества. Указанное решение оформляется протоколом об итогах продажи без объявления цены.</w:t>
      </w:r>
    </w:p>
    <w:p>
      <w:pPr>
        <w:pStyle w:val="Normal"/>
        <w:widowControl/>
        <w:numPr>
          <w:ilvl w:val="0"/>
          <w:numId w:val="0"/>
        </w:numPr>
        <w:ind w:left="0" w:firstLine="680"/>
        <w:jc w:val="both"/>
        <w:outlineLvl w:val="1"/>
        <w:rPr>
          <w:color w:val="21409A"/>
        </w:rPr>
      </w:pPr>
      <w:r>
        <w:rPr>
          <w:color w:val="000000"/>
        </w:rPr>
        <w:t>Покупателем имущества признается:</w:t>
      </w:r>
    </w:p>
    <w:p>
      <w:pPr>
        <w:pStyle w:val="Normal"/>
        <w:widowControl/>
        <w:numPr>
          <w:ilvl w:val="0"/>
          <w:numId w:val="0"/>
        </w:numPr>
        <w:ind w:left="0" w:firstLine="680"/>
        <w:jc w:val="both"/>
        <w:outlineLvl w:val="1"/>
        <w:rPr>
          <w:color w:val="21409A"/>
        </w:rPr>
      </w:pPr>
      <w:r>
        <w:rPr>
          <w:color w:val="000000"/>
        </w:rPr>
        <w:t>- в случае регистрации одной заявки и предложения о цене имущества — участник, представивший это предложение;</w:t>
      </w:r>
    </w:p>
    <w:p>
      <w:pPr>
        <w:pStyle w:val="Normal"/>
        <w:widowControl/>
        <w:numPr>
          <w:ilvl w:val="0"/>
          <w:numId w:val="0"/>
        </w:numPr>
        <w:ind w:left="0" w:firstLine="680"/>
        <w:jc w:val="both"/>
        <w:outlineLvl w:val="1"/>
        <w:rPr/>
      </w:pPr>
      <w:r>
        <w:rPr>
          <w:color w:val="000000"/>
        </w:rPr>
        <w:t>- в случае регистрации нескольких заявок и предложений о цене имущества  -  участник, предложивший наибольшую цену за продаваемое имущество;</w:t>
      </w:r>
    </w:p>
    <w:p>
      <w:pPr>
        <w:pStyle w:val="Normal"/>
        <w:widowControl/>
        <w:numPr>
          <w:ilvl w:val="0"/>
          <w:numId w:val="0"/>
        </w:numPr>
        <w:ind w:left="0" w:firstLine="680"/>
        <w:jc w:val="both"/>
        <w:outlineLvl w:val="1"/>
        <w:rPr>
          <w:color w:val="21409A"/>
        </w:rPr>
      </w:pPr>
      <w:r>
        <w:rPr>
          <w:color w:val="000000"/>
        </w:rPr>
        <w:t>- в случае если несколько участников предложили одинаковую наибольшую цену за продаваемое имущество - участник, заявка которого была подана на электронную площадку ранее других.</w:t>
      </w:r>
    </w:p>
    <w:p>
      <w:pPr>
        <w:pStyle w:val="ConsPlusNormal"/>
        <w:widowControl w:val="false"/>
        <w:bidi w:val="0"/>
        <w:ind w:left="57" w:right="0" w:firstLine="567"/>
        <w:jc w:val="both"/>
        <w:rPr>
          <w:color w:val="000000"/>
        </w:rPr>
      </w:pPr>
      <w:r>
        <w:rPr>
          <w:rFonts w:cs="Times New Roman" w:ascii="Times New Roman" w:hAnsi="Times New Roman"/>
          <w:b/>
          <w:color w:val="000000"/>
          <w:sz w:val="28"/>
          <w:szCs w:val="28"/>
        </w:rPr>
        <w:t>Подведение итогов аукциона:</w:t>
      </w:r>
      <w:r>
        <w:rPr>
          <w:rFonts w:cs="Times New Roman" w:ascii="Times New Roman" w:hAnsi="Times New Roman"/>
          <w:color w:val="000000"/>
          <w:sz w:val="28"/>
          <w:szCs w:val="28"/>
        </w:rPr>
        <w:t xml:space="preserve"> </w:t>
      </w:r>
      <w:r>
        <w:rPr>
          <w:rFonts w:cs="Times New Roman" w:ascii="Times New Roman" w:hAnsi="Times New Roman"/>
          <w:b w:val="false"/>
          <w:i w:val="false"/>
          <w:strike w:val="false"/>
          <w:dstrike w:val="false"/>
          <w:color w:val="000000"/>
          <w:sz w:val="28"/>
          <w:szCs w:val="28"/>
          <w:u w:val="none"/>
        </w:rPr>
        <w:t>Процедура продажи считается завершенной со времени подписания продавцом протокола об итогах продажи имущества без объявления цены.</w:t>
      </w:r>
    </w:p>
    <w:p>
      <w:pPr>
        <w:pStyle w:val="Normal"/>
        <w:tabs>
          <w:tab w:val="left" w:pos="4500" w:leader="none"/>
        </w:tabs>
        <w:ind w:left="0" w:firstLine="680"/>
        <w:jc w:val="both"/>
        <w:rPr>
          <w:highlight w:val="yellow"/>
        </w:rPr>
      </w:pPr>
      <w:bookmarkStart w:id="7" w:name="__DdeLink__382_1567635490"/>
      <w:r>
        <w:rPr>
          <w:color w:val="000000"/>
        </w:rPr>
        <w:t xml:space="preserve">Место подведения итогов: </w:t>
      </w:r>
      <w:bookmarkStart w:id="8" w:name="__DdeLink__242_3759699311"/>
      <w:r>
        <w:rPr>
          <w:color w:val="000000"/>
        </w:rPr>
        <w:t>Белгородская область, Ровеньский район, поселок Ровеньки, улица Ленина, дом 50</w:t>
      </w:r>
      <w:bookmarkEnd w:id="8"/>
      <w:r>
        <w:rPr>
          <w:color w:val="000000"/>
        </w:rPr>
        <w:t xml:space="preserve">. </w:t>
      </w:r>
      <w:bookmarkEnd w:id="7"/>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w:t>
      </w:r>
      <w:r>
        <w:rPr>
          <w:i/>
          <w:iCs/>
          <w:color w:val="7477B8"/>
        </w:rPr>
        <w:t xml:space="preserve"> </w:t>
      </w:r>
      <w:r>
        <w:rPr>
          <w:i w:val="false"/>
          <w:iCs w:val="false"/>
          <w:color w:val="000000"/>
        </w:rPr>
        <w:t>в предшествующем году муниципальное имущество выставлялось:</w:t>
      </w:r>
    </w:p>
    <w:p>
      <w:pPr>
        <w:pStyle w:val="Normal"/>
        <w:ind w:left="680" w:hanging="0"/>
        <w:jc w:val="both"/>
        <w:rPr/>
      </w:pPr>
      <w:r>
        <w:rPr>
          <w:i w:val="false"/>
          <w:iCs w:val="false"/>
          <w:color w:val="000000"/>
        </w:rPr>
        <w:tab/>
        <w:t>в 2020 году продажа на аукционе, продажа не состоялась в связи с отсутствием поданных заявок;</w:t>
      </w:r>
    </w:p>
    <w:p>
      <w:pPr>
        <w:pStyle w:val="Normal"/>
        <w:ind w:left="680" w:hanging="0"/>
        <w:jc w:val="both"/>
        <w:rPr/>
      </w:pPr>
      <w:r>
        <w:rPr>
          <w:i w:val="false"/>
          <w:iCs w:val="false"/>
          <w:color w:val="000000"/>
        </w:rPr>
        <w:tab/>
        <w:t>в 2020 году продажа муниципального имущества посредством публичного предложения в порядке приватизации, которая не состоялась, в связи с отсутствием поданных заявок;</w:t>
      </w:r>
    </w:p>
    <w:p>
      <w:pPr>
        <w:pStyle w:val="Normal"/>
        <w:ind w:left="680" w:hanging="0"/>
        <w:jc w:val="both"/>
        <w:rPr/>
      </w:pPr>
      <w:r>
        <w:rPr>
          <w:i w:val="false"/>
          <w:iCs w:val="false"/>
          <w:color w:val="000000"/>
        </w:rPr>
        <w:tab/>
        <w:t>в 2021 году продажа муниципального имущества без объявления цены, продажа не состоялась в связи с уклонением покупателя от заключения договора купли-продажи в установленный срок;</w:t>
      </w:r>
    </w:p>
    <w:p>
      <w:pPr>
        <w:pStyle w:val="Normal"/>
        <w:ind w:left="680" w:hanging="0"/>
        <w:jc w:val="both"/>
        <w:rPr/>
      </w:pPr>
      <w:r>
        <w:rPr>
          <w:i w:val="false"/>
          <w:iCs w:val="false"/>
          <w:color w:val="000000"/>
        </w:rPr>
        <w:tab/>
        <w:t>в 2023 году продажа на аукционе, продажа не состоялась в связи с отсутствием поданных заявок.</w:t>
      </w:r>
    </w:p>
    <w:p>
      <w:pPr>
        <w:pStyle w:val="Normal"/>
        <w:ind w:left="680" w:hanging="0"/>
        <w:jc w:val="both"/>
        <w:rPr/>
      </w:pPr>
      <w:r>
        <w:rPr>
          <w:i w:val="false"/>
          <w:iCs w:val="false"/>
          <w:color w:val="000000"/>
        </w:rPr>
        <w:tab/>
        <w:t>в 2023 году продажа муниципального имущества посредством публичного предложения в порядке приватизации, продажа не состоялась, в связи с тем, что принял участие только один участник.</w:t>
      </w:r>
    </w:p>
    <w:p>
      <w:pPr>
        <w:pStyle w:val="Normal"/>
        <w:rPr>
          <w:i/>
          <w:i/>
          <w:iCs/>
          <w:color w:val="000000"/>
        </w:rPr>
      </w:pPr>
      <w:r>
        <w:rPr>
          <w:i/>
          <w:iCs/>
          <w:color w:val="000000"/>
        </w:rPr>
      </w:r>
    </w:p>
    <w:p>
      <w:pPr>
        <w:pStyle w:val="Normal"/>
        <w:rPr>
          <w:i/>
          <w:i/>
          <w:iCs/>
          <w:color w:val="7477B8"/>
        </w:rPr>
      </w:pPr>
      <w:r>
        <w:rPr>
          <w:i/>
          <w:iCs/>
          <w:color w:val="7477B8"/>
        </w:rPr>
      </w:r>
    </w:p>
    <w:p>
      <w:pPr>
        <w:pStyle w:val="Normal"/>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character" w:styleId="ListLabel201">
    <w:name w:val="ListLabel 201"/>
    <w:qFormat/>
    <w:rPr>
      <w:color w:val="000000"/>
      <w:u w:val="none"/>
    </w:rPr>
  </w:style>
  <w:style w:type="character" w:styleId="ListLabel202">
    <w:name w:val="ListLabel 202"/>
    <w:qFormat/>
    <w:rPr>
      <w:color w:val="000000"/>
      <w:u w:val="none"/>
      <w:lang w:val="en-US"/>
    </w:rPr>
  </w:style>
  <w:style w:type="character" w:styleId="ListLabel203">
    <w:name w:val="ListLabel 203"/>
    <w:qFormat/>
    <w:rPr>
      <w:sz w:val="28"/>
      <w:szCs w:val="28"/>
    </w:rPr>
  </w:style>
  <w:style w:type="character" w:styleId="ListLabel204">
    <w:name w:val="ListLabel 204"/>
    <w:qFormat/>
    <w:rPr/>
  </w:style>
  <w:style w:type="character" w:styleId="ListLabel205">
    <w:name w:val="ListLabel 205"/>
    <w:qFormat/>
    <w:rPr/>
  </w:style>
  <w:style w:type="character" w:styleId="ListLabel206">
    <w:name w:val="ListLabel 206"/>
    <w:qFormat/>
    <w:rPr>
      <w:color w:val="000000"/>
      <w:sz w:val="28"/>
      <w:szCs w:val="28"/>
      <w:u w:val="none"/>
    </w:rPr>
  </w:style>
  <w:style w:type="character" w:styleId="ListLabel207">
    <w:name w:val="ListLabel 207"/>
    <w:qFormat/>
    <w:rPr>
      <w:color w:val="000000"/>
      <w:sz w:val="28"/>
      <w:szCs w:val="28"/>
      <w:u w:val="none"/>
      <w:lang w:val="en-US"/>
    </w:rPr>
  </w:style>
  <w:style w:type="character" w:styleId="ListLabel208">
    <w:name w:val="ListLabel 208"/>
    <w:qFormat/>
    <w:rPr>
      <w:color w:val="000000"/>
      <w:u w:val="none"/>
    </w:rPr>
  </w:style>
  <w:style w:type="character" w:styleId="ListLabel209">
    <w:name w:val="ListLabel 209"/>
    <w:qFormat/>
    <w:rPr>
      <w:color w:val="000000"/>
      <w:u w:val="none"/>
      <w:lang w:val="en-US"/>
    </w:rPr>
  </w:style>
  <w:style w:type="character" w:styleId="ListLabel210">
    <w:name w:val="ListLabel 210"/>
    <w:qFormat/>
    <w:rPr>
      <w:sz w:val="28"/>
      <w:szCs w:val="28"/>
    </w:rPr>
  </w:style>
  <w:style w:type="character" w:styleId="ListLabel211">
    <w:name w:val="ListLabel 211"/>
    <w:qFormat/>
    <w:rPr/>
  </w:style>
  <w:style w:type="character" w:styleId="ListLabel212">
    <w:name w:val="ListLabel 212"/>
    <w:qFormat/>
    <w:rPr/>
  </w:style>
  <w:style w:type="character" w:styleId="ListLabel213">
    <w:name w:val="ListLabel 213"/>
    <w:qFormat/>
    <w:rPr>
      <w:color w:val="000000"/>
      <w:sz w:val="28"/>
      <w:szCs w:val="28"/>
      <w:u w:val="none"/>
    </w:rPr>
  </w:style>
  <w:style w:type="character" w:styleId="ListLabel214">
    <w:name w:val="ListLabel 214"/>
    <w:qFormat/>
    <w:rPr>
      <w:color w:val="000000"/>
      <w:sz w:val="28"/>
      <w:szCs w:val="28"/>
      <w:u w:val="none"/>
      <w:lang w:val="en-US"/>
    </w:rPr>
  </w:style>
  <w:style w:type="character" w:styleId="ListLabel215">
    <w:name w:val="ListLabel 215"/>
    <w:qFormat/>
    <w:rPr>
      <w:color w:val="000000"/>
      <w:u w:val="none"/>
    </w:rPr>
  </w:style>
  <w:style w:type="character" w:styleId="ListLabel216">
    <w:name w:val="ListLabel 216"/>
    <w:qFormat/>
    <w:rPr>
      <w:color w:val="000000"/>
      <w:u w:val="none"/>
      <w:lang w:val="en-US"/>
    </w:rPr>
  </w:style>
  <w:style w:type="character" w:styleId="ListLabel217">
    <w:name w:val="ListLabel 217"/>
    <w:qFormat/>
    <w:rPr>
      <w:sz w:val="28"/>
      <w:szCs w:val="28"/>
    </w:rPr>
  </w:style>
  <w:style w:type="character" w:styleId="ListLabel218">
    <w:name w:val="ListLabel 218"/>
    <w:qFormat/>
    <w:rPr/>
  </w:style>
  <w:style w:type="character" w:styleId="ListLabel219">
    <w:name w:val="ListLabel 219"/>
    <w:qFormat/>
    <w:rPr/>
  </w:style>
  <w:style w:type="character" w:styleId="ListLabel220">
    <w:name w:val="ListLabel 220"/>
    <w:qFormat/>
    <w:rPr>
      <w:color w:val="000000"/>
      <w:sz w:val="28"/>
      <w:szCs w:val="28"/>
      <w:u w:val="none"/>
    </w:rPr>
  </w:style>
  <w:style w:type="character" w:styleId="ListLabel221">
    <w:name w:val="ListLabel 221"/>
    <w:qFormat/>
    <w:rPr>
      <w:color w:val="000000"/>
      <w:sz w:val="28"/>
      <w:szCs w:val="28"/>
      <w:u w:val="none"/>
      <w:lang w:val="en-US"/>
    </w:rPr>
  </w:style>
  <w:style w:type="character" w:styleId="ListLabel222">
    <w:name w:val="ListLabel 222"/>
    <w:qFormat/>
    <w:rPr>
      <w:color w:val="000000"/>
      <w:u w:val="none"/>
    </w:rPr>
  </w:style>
  <w:style w:type="character" w:styleId="ListLabel223">
    <w:name w:val="ListLabel 223"/>
    <w:qFormat/>
    <w:rPr>
      <w:color w:val="000000"/>
      <w:u w:val="none"/>
      <w:lang w:val="en-US"/>
    </w:rPr>
  </w:style>
  <w:style w:type="character" w:styleId="ListLabel224">
    <w:name w:val="ListLabel 224"/>
    <w:qFormat/>
    <w:rPr>
      <w:sz w:val="28"/>
      <w:szCs w:val="28"/>
    </w:rPr>
  </w:style>
  <w:style w:type="character" w:styleId="ListLabel225">
    <w:name w:val="ListLabel 225"/>
    <w:qFormat/>
    <w:rPr/>
  </w:style>
  <w:style w:type="character" w:styleId="ListLabel226">
    <w:name w:val="ListLabel 226"/>
    <w:qFormat/>
    <w:rPr/>
  </w:style>
  <w:style w:type="character" w:styleId="ListLabel227">
    <w:name w:val="ListLabel 227"/>
    <w:qFormat/>
    <w:rPr>
      <w:color w:val="000000"/>
      <w:sz w:val="28"/>
      <w:szCs w:val="28"/>
      <w:u w:val="none"/>
    </w:rPr>
  </w:style>
  <w:style w:type="character" w:styleId="ListLabel228">
    <w:name w:val="ListLabel 228"/>
    <w:qFormat/>
    <w:rPr>
      <w:color w:val="000000"/>
      <w:sz w:val="28"/>
      <w:szCs w:val="28"/>
      <w:u w:val="none"/>
      <w:lang w:val="en-US"/>
    </w:rPr>
  </w:style>
  <w:style w:type="character" w:styleId="ListLabel229">
    <w:name w:val="ListLabel 229"/>
    <w:qFormat/>
    <w:rPr>
      <w:color w:val="000000"/>
      <w:u w:val="none"/>
    </w:rPr>
  </w:style>
  <w:style w:type="character" w:styleId="ListLabel230">
    <w:name w:val="ListLabel 230"/>
    <w:qFormat/>
    <w:rPr>
      <w:color w:val="000000"/>
      <w:u w:val="none"/>
      <w:lang w:val="en-US"/>
    </w:rPr>
  </w:style>
  <w:style w:type="character" w:styleId="ListLabel231">
    <w:name w:val="ListLabel 231"/>
    <w:qFormat/>
    <w:rPr>
      <w:sz w:val="28"/>
      <w:szCs w:val="28"/>
    </w:rPr>
  </w:style>
  <w:style w:type="character" w:styleId="ListLabel232">
    <w:name w:val="ListLabel 232"/>
    <w:qFormat/>
    <w:rPr/>
  </w:style>
  <w:style w:type="character" w:styleId="ListLabel233">
    <w:name w:val="ListLabel 233"/>
    <w:qFormat/>
    <w:rPr/>
  </w:style>
  <w:style w:type="character" w:styleId="ListLabel234">
    <w:name w:val="ListLabel 234"/>
    <w:qFormat/>
    <w:rPr>
      <w:color w:val="000000"/>
      <w:sz w:val="28"/>
      <w:szCs w:val="28"/>
      <w:u w:val="none"/>
    </w:rPr>
  </w:style>
  <w:style w:type="character" w:styleId="ListLabel235">
    <w:name w:val="ListLabel 235"/>
    <w:qFormat/>
    <w:rPr>
      <w:color w:val="000000"/>
      <w:sz w:val="28"/>
      <w:szCs w:val="28"/>
      <w:u w:val="none"/>
      <w:lang w:val="en-US"/>
    </w:rPr>
  </w:style>
  <w:style w:type="character" w:styleId="ListLabel236">
    <w:name w:val="ListLabel 236"/>
    <w:qFormat/>
    <w:rPr>
      <w:color w:val="000000"/>
      <w:u w:val="none"/>
    </w:rPr>
  </w:style>
  <w:style w:type="character" w:styleId="ListLabel237">
    <w:name w:val="ListLabel 237"/>
    <w:qFormat/>
    <w:rPr>
      <w:color w:val="000000"/>
      <w:u w:val="none"/>
      <w:lang w:val="en-US"/>
    </w:rPr>
  </w:style>
  <w:style w:type="character" w:styleId="ListLabel238">
    <w:name w:val="ListLabel 238"/>
    <w:qFormat/>
    <w:rPr>
      <w:sz w:val="28"/>
      <w:szCs w:val="28"/>
    </w:rPr>
  </w:style>
  <w:style w:type="character" w:styleId="ListLabel239">
    <w:name w:val="ListLabel 239"/>
    <w:qFormat/>
    <w:rPr/>
  </w:style>
  <w:style w:type="character" w:styleId="ListLabel240">
    <w:name w:val="ListLabel 240"/>
    <w:qFormat/>
    <w:rPr/>
  </w:style>
  <w:style w:type="character" w:styleId="ListLabel241">
    <w:name w:val="ListLabel 241"/>
    <w:qFormat/>
    <w:rPr>
      <w:color w:val="000000"/>
      <w:sz w:val="28"/>
      <w:szCs w:val="28"/>
      <w:u w:val="none"/>
    </w:rPr>
  </w:style>
  <w:style w:type="character" w:styleId="ListLabel242">
    <w:name w:val="ListLabel 242"/>
    <w:qFormat/>
    <w:rPr>
      <w:color w:val="000000"/>
      <w:sz w:val="28"/>
      <w:szCs w:val="28"/>
      <w:u w:val="none"/>
      <w:lang w:val="en-US"/>
    </w:rPr>
  </w:style>
  <w:style w:type="character" w:styleId="ListLabel243">
    <w:name w:val="ListLabel 243"/>
    <w:qFormat/>
    <w:rPr>
      <w:color w:val="000000"/>
      <w:u w:val="none"/>
    </w:rPr>
  </w:style>
  <w:style w:type="character" w:styleId="ListLabel244">
    <w:name w:val="ListLabel 244"/>
    <w:qFormat/>
    <w:rPr>
      <w:color w:val="000000"/>
      <w:u w:val="none"/>
      <w:lang w:val="en-US"/>
    </w:rPr>
  </w:style>
  <w:style w:type="character" w:styleId="ListLabel245">
    <w:name w:val="ListLabel 245"/>
    <w:qFormat/>
    <w:rPr>
      <w:sz w:val="28"/>
      <w:szCs w:val="28"/>
    </w:rPr>
  </w:style>
  <w:style w:type="character" w:styleId="ListLabel246">
    <w:name w:val="ListLabel 246"/>
    <w:qFormat/>
    <w:rPr/>
  </w:style>
  <w:style w:type="character" w:styleId="ListLabel247">
    <w:name w:val="ListLabel 247"/>
    <w:qFormat/>
    <w:rPr/>
  </w:style>
  <w:style w:type="character" w:styleId="ListLabel248">
    <w:name w:val="ListLabel 248"/>
    <w:qFormat/>
    <w:rPr>
      <w:color w:val="000000"/>
      <w:sz w:val="28"/>
      <w:szCs w:val="28"/>
      <w:u w:val="none"/>
    </w:rPr>
  </w:style>
  <w:style w:type="character" w:styleId="ListLabel249">
    <w:name w:val="ListLabel 249"/>
    <w:qFormat/>
    <w:rPr>
      <w:color w:val="000000"/>
      <w:sz w:val="28"/>
      <w:szCs w:val="28"/>
      <w:u w:val="none"/>
      <w:lang w:val="en-US"/>
    </w:rPr>
  </w:style>
  <w:style w:type="character" w:styleId="ListLabel250">
    <w:name w:val="ListLabel 250"/>
    <w:qFormat/>
    <w:rPr>
      <w:color w:val="000000"/>
      <w:u w:val="none"/>
    </w:rPr>
  </w:style>
  <w:style w:type="character" w:styleId="ListLabel251">
    <w:name w:val="ListLabel 251"/>
    <w:qFormat/>
    <w:rPr>
      <w:color w:val="000000"/>
      <w:u w:val="none"/>
      <w:lang w:val="en-US"/>
    </w:rPr>
  </w:style>
  <w:style w:type="character" w:styleId="ListLabel252">
    <w:name w:val="ListLabel 252"/>
    <w:qFormat/>
    <w:rPr>
      <w:sz w:val="28"/>
      <w:szCs w:val="28"/>
    </w:rPr>
  </w:style>
  <w:style w:type="character" w:styleId="ListLabel253">
    <w:name w:val="ListLabel 253"/>
    <w:qFormat/>
    <w:rPr/>
  </w:style>
  <w:style w:type="character" w:styleId="ListLabel254">
    <w:name w:val="ListLabel 254"/>
    <w:qFormat/>
    <w:rPr/>
  </w:style>
  <w:style w:type="character" w:styleId="ListLabel255">
    <w:name w:val="ListLabel 255"/>
    <w:qFormat/>
    <w:rPr>
      <w:color w:val="000000"/>
      <w:sz w:val="28"/>
      <w:szCs w:val="28"/>
      <w:u w:val="none"/>
    </w:rPr>
  </w:style>
  <w:style w:type="character" w:styleId="ListLabel256">
    <w:name w:val="ListLabel 256"/>
    <w:qFormat/>
    <w:rPr>
      <w:color w:val="000000"/>
      <w:sz w:val="28"/>
      <w:szCs w:val="28"/>
      <w:u w:val="none"/>
      <w:lang w:val="en-US"/>
    </w:rPr>
  </w:style>
  <w:style w:type="character" w:styleId="ListLabel257">
    <w:name w:val="ListLabel 257"/>
    <w:qFormat/>
    <w:rPr>
      <w:color w:val="000000"/>
      <w:u w:val="none"/>
    </w:rPr>
  </w:style>
  <w:style w:type="character" w:styleId="ListLabel258">
    <w:name w:val="ListLabel 258"/>
    <w:qFormat/>
    <w:rPr>
      <w:color w:val="000000"/>
      <w:u w:val="none"/>
      <w:lang w:val="en-US"/>
    </w:rPr>
  </w:style>
  <w:style w:type="character" w:styleId="ListLabel259">
    <w:name w:val="ListLabel 259"/>
    <w:qFormat/>
    <w:rPr>
      <w:sz w:val="28"/>
      <w:szCs w:val="28"/>
    </w:rPr>
  </w:style>
  <w:style w:type="character" w:styleId="ListLabel260">
    <w:name w:val="ListLabel 260"/>
    <w:qFormat/>
    <w:rPr/>
  </w:style>
  <w:style w:type="character" w:styleId="ListLabel261">
    <w:name w:val="ListLabel 261"/>
    <w:qFormat/>
    <w:rPr/>
  </w:style>
  <w:style w:type="character" w:styleId="ListLabel262">
    <w:name w:val="ListLabel 262"/>
    <w:qFormat/>
    <w:rPr>
      <w:color w:val="000000"/>
      <w:sz w:val="28"/>
      <w:szCs w:val="28"/>
      <w:u w:val="none"/>
    </w:rPr>
  </w:style>
  <w:style w:type="character" w:styleId="ListLabel263">
    <w:name w:val="ListLabel 263"/>
    <w:qFormat/>
    <w:rPr>
      <w:color w:val="000000"/>
      <w:sz w:val="28"/>
      <w:szCs w:val="28"/>
      <w:u w:val="none"/>
      <w:lang w:val="en-US"/>
    </w:rPr>
  </w:style>
  <w:style w:type="character" w:styleId="ListLabel264">
    <w:name w:val="ListLabel 264"/>
    <w:qFormat/>
    <w:rPr>
      <w:color w:val="000000"/>
      <w:u w:val="none"/>
    </w:rPr>
  </w:style>
  <w:style w:type="character" w:styleId="ListLabel265">
    <w:name w:val="ListLabel 265"/>
    <w:qFormat/>
    <w:rPr>
      <w:color w:val="000000"/>
      <w:u w:val="none"/>
      <w:lang w:val="en-US"/>
    </w:rPr>
  </w:style>
  <w:style w:type="character" w:styleId="ListLabel266">
    <w:name w:val="ListLabel 266"/>
    <w:qFormat/>
    <w:rPr>
      <w:sz w:val="28"/>
      <w:szCs w:val="28"/>
    </w:rPr>
  </w:style>
  <w:style w:type="character" w:styleId="ListLabel267">
    <w:name w:val="ListLabel 267"/>
    <w:qFormat/>
    <w:rPr/>
  </w:style>
  <w:style w:type="character" w:styleId="ListLabel268">
    <w:name w:val="ListLabel 268"/>
    <w:qFormat/>
    <w:rPr/>
  </w:style>
  <w:style w:type="character" w:styleId="ListLabel269">
    <w:name w:val="ListLabel 269"/>
    <w:qFormat/>
    <w:rPr>
      <w:color w:val="000000"/>
      <w:sz w:val="28"/>
      <w:szCs w:val="28"/>
      <w:u w:val="none"/>
    </w:rPr>
  </w:style>
  <w:style w:type="character" w:styleId="ListLabel270">
    <w:name w:val="ListLabel 270"/>
    <w:qFormat/>
    <w:rPr>
      <w:color w:val="000000"/>
      <w:sz w:val="28"/>
      <w:szCs w:val="28"/>
      <w:u w:val="none"/>
      <w:lang w:val="en-US"/>
    </w:rPr>
  </w:style>
  <w:style w:type="character" w:styleId="ListLabel271">
    <w:name w:val="ListLabel 271"/>
    <w:qFormat/>
    <w:rPr>
      <w:color w:val="000000"/>
      <w:u w:val="none"/>
    </w:rPr>
  </w:style>
  <w:style w:type="character" w:styleId="ListLabel272">
    <w:name w:val="ListLabel 272"/>
    <w:qFormat/>
    <w:rPr>
      <w:color w:val="000000"/>
      <w:u w:val="none"/>
      <w:lang w:val="en-US"/>
    </w:rPr>
  </w:style>
  <w:style w:type="character" w:styleId="ListLabel273">
    <w:name w:val="ListLabel 273"/>
    <w:qFormat/>
    <w:rPr>
      <w:sz w:val="28"/>
      <w:szCs w:val="28"/>
    </w:rPr>
  </w:style>
  <w:style w:type="character" w:styleId="ListLabel274">
    <w:name w:val="ListLabel 274"/>
    <w:qFormat/>
    <w:rPr/>
  </w:style>
  <w:style w:type="character" w:styleId="ListLabel275">
    <w:name w:val="ListLabel 275"/>
    <w:qFormat/>
    <w:rPr/>
  </w:style>
  <w:style w:type="character" w:styleId="ListLabel276">
    <w:name w:val="ListLabel 276"/>
    <w:qFormat/>
    <w:rPr>
      <w:color w:val="000000"/>
      <w:sz w:val="28"/>
      <w:szCs w:val="28"/>
      <w:u w:val="none"/>
    </w:rPr>
  </w:style>
  <w:style w:type="character" w:styleId="ListLabel277">
    <w:name w:val="ListLabel 277"/>
    <w:qFormat/>
    <w:rPr>
      <w:color w:val="000000"/>
      <w:sz w:val="28"/>
      <w:szCs w:val="28"/>
      <w:u w:val="none"/>
      <w:lang w:val="en-US"/>
    </w:rPr>
  </w:style>
  <w:style w:type="character" w:styleId="ListLabel278">
    <w:name w:val="ListLabel 278"/>
    <w:qFormat/>
    <w:rPr>
      <w:color w:val="000000"/>
      <w:u w:val="none"/>
    </w:rPr>
  </w:style>
  <w:style w:type="character" w:styleId="ListLabel279">
    <w:name w:val="ListLabel 279"/>
    <w:qFormat/>
    <w:rPr>
      <w:color w:val="000000"/>
      <w:u w:val="none"/>
      <w:lang w:val="en-US"/>
    </w:rPr>
  </w:style>
  <w:style w:type="character" w:styleId="ListLabel280">
    <w:name w:val="ListLabel 280"/>
    <w:qFormat/>
    <w:rPr/>
  </w:style>
  <w:style w:type="character" w:styleId="ListLabel281">
    <w:name w:val="ListLabel 281"/>
    <w:qFormat/>
    <w:rPr/>
  </w:style>
  <w:style w:type="character" w:styleId="ListLabel282">
    <w:name w:val="ListLabel 282"/>
    <w:qFormat/>
    <w:rPr>
      <w:color w:val="000000"/>
      <w:sz w:val="28"/>
      <w:szCs w:val="28"/>
      <w:u w:val="none"/>
    </w:rPr>
  </w:style>
  <w:style w:type="character" w:styleId="ListLabel283">
    <w:name w:val="ListLabel 283"/>
    <w:qFormat/>
    <w:rPr>
      <w:color w:val="000000"/>
      <w:sz w:val="28"/>
      <w:szCs w:val="28"/>
      <w:u w:val="none"/>
      <w:lang w:val="en-US"/>
    </w:rPr>
  </w:style>
  <w:style w:type="character" w:styleId="ListLabel284">
    <w:name w:val="ListLabel 284"/>
    <w:qFormat/>
    <w:rPr>
      <w:color w:val="000000"/>
      <w:u w:val="none"/>
    </w:rPr>
  </w:style>
  <w:style w:type="character" w:styleId="ListLabel285">
    <w:name w:val="ListLabel 285"/>
    <w:qFormat/>
    <w:rPr>
      <w:color w:val="000000"/>
      <w:u w:val="none"/>
      <w:lang w:val="en-US"/>
    </w:rPr>
  </w:style>
  <w:style w:type="character" w:styleId="ListLabel286">
    <w:name w:val="ListLabel 286"/>
    <w:qFormat/>
    <w:rPr/>
  </w:style>
  <w:style w:type="character" w:styleId="ListLabel287">
    <w:name w:val="ListLabel 287"/>
    <w:qFormat/>
    <w:rPr>
      <w:color w:val="000000"/>
      <w:sz w:val="28"/>
      <w:szCs w:val="28"/>
      <w:u w:val="none"/>
    </w:rPr>
  </w:style>
  <w:style w:type="character" w:styleId="ListLabel288">
    <w:name w:val="ListLabel 288"/>
    <w:qFormat/>
    <w:rPr>
      <w:color w:val="000000"/>
      <w:sz w:val="28"/>
      <w:szCs w:val="28"/>
      <w:u w:val="none"/>
      <w:lang w:val="en-US"/>
    </w:rPr>
  </w:style>
  <w:style w:type="character" w:styleId="ListLabel289">
    <w:name w:val="ListLabel 289"/>
    <w:qFormat/>
    <w:rPr>
      <w:color w:val="000000"/>
      <w:u w:val="none"/>
    </w:rPr>
  </w:style>
  <w:style w:type="character" w:styleId="ListLabel290">
    <w:name w:val="ListLabel 290"/>
    <w:qFormat/>
    <w:rPr>
      <w:color w:val="000000"/>
      <w:u w:val="none"/>
      <w:lang w:val="en-US"/>
    </w:rPr>
  </w:style>
  <w:style w:type="character" w:styleId="ListLabel291">
    <w:name w:val="ListLabel 291"/>
    <w:qFormat/>
    <w:rPr/>
  </w:style>
  <w:style w:type="character" w:styleId="ListLabel292">
    <w:name w:val="ListLabel 292"/>
    <w:qFormat/>
    <w:rPr>
      <w:color w:val="000000"/>
      <w:sz w:val="28"/>
      <w:szCs w:val="28"/>
      <w:u w:val="none"/>
    </w:rPr>
  </w:style>
  <w:style w:type="character" w:styleId="ListLabel293">
    <w:name w:val="ListLabel 293"/>
    <w:qFormat/>
    <w:rPr>
      <w:color w:val="000000"/>
      <w:sz w:val="28"/>
      <w:szCs w:val="28"/>
      <w:u w:val="none"/>
      <w:lang w:val="en-US"/>
    </w:rPr>
  </w:style>
  <w:style w:type="character" w:styleId="ListLabel294">
    <w:name w:val="ListLabel 294"/>
    <w:qFormat/>
    <w:rPr>
      <w:color w:val="000000"/>
      <w:u w:val="none"/>
    </w:rPr>
  </w:style>
  <w:style w:type="character" w:styleId="ListLabel295">
    <w:name w:val="ListLabel 295"/>
    <w:qFormat/>
    <w:rPr>
      <w:color w:val="000000"/>
      <w:u w:val="none"/>
      <w:lang w:val="en-US"/>
    </w:rPr>
  </w:style>
  <w:style w:type="character" w:styleId="ListLabel296">
    <w:name w:val="ListLabel 296"/>
    <w:qFormat/>
    <w:rPr/>
  </w:style>
  <w:style w:type="character" w:styleId="ListLabel297">
    <w:name w:val="ListLabel 297"/>
    <w:qFormat/>
    <w:rPr>
      <w:color w:val="000000"/>
      <w:sz w:val="28"/>
      <w:szCs w:val="28"/>
      <w:u w:val="none"/>
    </w:rPr>
  </w:style>
  <w:style w:type="character" w:styleId="ListLabel298">
    <w:name w:val="ListLabel 298"/>
    <w:qFormat/>
    <w:rPr>
      <w:color w:val="000000"/>
      <w:sz w:val="28"/>
      <w:szCs w:val="28"/>
      <w:u w:val="none"/>
      <w:lang w:val="en-US"/>
    </w:rPr>
  </w:style>
  <w:style w:type="character" w:styleId="ListLabel299">
    <w:name w:val="ListLabel 299"/>
    <w:qFormat/>
    <w:rPr>
      <w:color w:val="000000"/>
      <w:u w:val="none"/>
    </w:rPr>
  </w:style>
  <w:style w:type="character" w:styleId="ListLabel300">
    <w:name w:val="ListLabel 300"/>
    <w:qFormat/>
    <w:rPr>
      <w:color w:val="000000"/>
      <w:u w:val="none"/>
      <w:lang w:val="en-US"/>
    </w:rPr>
  </w:style>
  <w:style w:type="character" w:styleId="ListLabel301">
    <w:name w:val="ListLabel 301"/>
    <w:qFormat/>
    <w:rPr/>
  </w:style>
  <w:style w:type="character" w:styleId="ListLabel302">
    <w:name w:val="ListLabel 302"/>
    <w:qFormat/>
    <w:rPr>
      <w:color w:val="000000"/>
      <w:sz w:val="28"/>
      <w:szCs w:val="28"/>
      <w:u w:val="none"/>
    </w:rPr>
  </w:style>
  <w:style w:type="character" w:styleId="ListLabel303">
    <w:name w:val="ListLabel 303"/>
    <w:qFormat/>
    <w:rPr>
      <w:color w:val="000000"/>
      <w:sz w:val="28"/>
      <w:szCs w:val="28"/>
      <w:u w:val="none"/>
      <w:lang w:val="en-US"/>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rsid w:val="005914c7"/>
    <w:pPr>
      <w:widowControl/>
      <w:spacing w:before="0" w:after="120"/>
      <w:ind w:left="0" w:hanging="0"/>
    </w:pPr>
    <w:rPr>
      <w:sz w:val="24"/>
      <w:szCs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http://utp.sberbank-ast.ru/" TargetMode="External"/><Relationship Id="rId4" Type="http://schemas.openxmlformats.org/officeDocument/2006/relationships/hyperlink" Target="http://utp.sberbank-ast.ru/" TargetMode="External"/><Relationship Id="rId5" Type="http://schemas.openxmlformats.org/officeDocument/2006/relationships/hyperlink" Target="consultantplus://offline/main?base=LAW;n=112770;fld=134;dst=101017" TargetMode="External"/><Relationship Id="rId6" Type="http://schemas.openxmlformats.org/officeDocument/2006/relationships/hyperlink" Target="http://utp.sberbank-ast.ru/" TargetMode="External"/><Relationship Id="rId7" Type="http://schemas.openxmlformats.org/officeDocument/2006/relationships/hyperlink" Target="http://utp.sberbank-ast.ru/" TargetMode="External"/><Relationship Id="rId8" Type="http://schemas.openxmlformats.org/officeDocument/2006/relationships/hyperlink" Target="consultantplus://offline/ref=CD735DF92249256AE300504E09B27F3DF32C374B2F0972F77A2DE507B652ECF0F6C2D749h7H"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1229</TotalTime>
  <Application>LibreOffice/6.0.3.2$Windows_x86 LibreOffice_project/8f48d515416608e3a835360314dac7e47fd0b821</Application>
  <Pages>5</Pages>
  <Words>1655</Words>
  <Characters>11721</Characters>
  <CharactersWithSpaces>13360</CharactersWithSpaces>
  <Paragraphs>69</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2023-02-07T15:21:00Z</dcterms:created>
  <dc:creator>ЖубатоваМ</dc:creator>
  <dc:description/>
  <dc:language>ru-RU</dc:language>
  <cp:lastModifiedBy/>
  <cp:lastPrinted>2023-03-31T10:02:57Z</cp:lastPrinted>
  <dcterms:modified xsi:type="dcterms:W3CDTF">2023-04-03T09:11:04Z</dcterms:modified>
  <cp:revision>121</cp:revision>
  <dc:subject/>
  <dc:title>Постановление Правительства РФ от 27.08.2012 N 860(ред. от 22.12.2022)"Об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