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680" w:hanging="0"/>
        <w:jc w:val="right"/>
        <w:rPr>
          <w:sz w:val="24"/>
          <w:szCs w:val="24"/>
        </w:rPr>
      </w:pPr>
      <w:r>
        <w:rPr>
          <w:sz w:val="24"/>
          <w:szCs w:val="24"/>
        </w:rPr>
        <w:t>Приложение №2</w:t>
      </w:r>
    </w:p>
    <w:p>
      <w:pPr>
        <w:pStyle w:val="Normal"/>
        <w:ind w:left="680" w:hanging="0"/>
        <w:jc w:val="right"/>
        <w:rPr>
          <w:sz w:val="24"/>
          <w:szCs w:val="24"/>
        </w:rPr>
      </w:pPr>
      <w:r>
        <w:rPr>
          <w:sz w:val="24"/>
          <w:szCs w:val="24"/>
        </w:rPr>
        <w:t>к протоколу заседания</w:t>
      </w:r>
    </w:p>
    <w:p>
      <w:pPr>
        <w:pStyle w:val="Normal"/>
        <w:ind w:left="680" w:hanging="0"/>
        <w:jc w:val="right"/>
        <w:rPr>
          <w:sz w:val="24"/>
          <w:szCs w:val="24"/>
        </w:rPr>
      </w:pPr>
      <w:r>
        <w:rPr>
          <w:sz w:val="24"/>
          <w:szCs w:val="24"/>
        </w:rPr>
        <w:t>комиссии по приватизации</w:t>
      </w:r>
    </w:p>
    <w:p>
      <w:pPr>
        <w:pStyle w:val="Normal"/>
        <w:ind w:left="680" w:hanging="0"/>
        <w:jc w:val="right"/>
        <w:rPr/>
      </w:pPr>
      <w:r>
        <w:rPr>
          <w:sz w:val="24"/>
          <w:szCs w:val="24"/>
        </w:rPr>
        <w:t>от «26» апреля 2023 г. №</w:t>
      </w:r>
      <w:r>
        <w:rPr>
          <w:sz w:val="24"/>
          <w:szCs w:val="24"/>
        </w:rPr>
        <w:t>10</w:t>
      </w:r>
    </w:p>
    <w:p>
      <w:pPr>
        <w:pStyle w:val="Normal"/>
        <w:ind w:left="680" w:hanging="0"/>
        <w:jc w:val="right"/>
        <w:rPr>
          <w:sz w:val="20"/>
          <w:szCs w:val="20"/>
        </w:rPr>
      </w:pPr>
      <w:r>
        <w:rPr>
          <w:sz w:val="20"/>
          <w:szCs w:val="20"/>
        </w:rPr>
      </w:r>
    </w:p>
    <w:p>
      <w:pPr>
        <w:pStyle w:val="Normal"/>
        <w:jc w:val="center"/>
        <w:rPr>
          <w:b/>
          <w:b/>
        </w:rPr>
      </w:pPr>
      <w:r>
        <w:rPr>
          <w:b/>
        </w:rPr>
        <w:t>ИНФОРМАЦИОННОЕ СООБЩЕНИЕ</w:t>
      </w:r>
    </w:p>
    <w:p>
      <w:pPr>
        <w:pStyle w:val="Normal"/>
        <w:jc w:val="center"/>
        <w:rPr/>
      </w:pPr>
      <w:r>
        <w:rPr>
          <w:b/>
        </w:rPr>
        <w:t xml:space="preserve">о проведении продажи муниципального имущества </w:t>
      </w:r>
    </w:p>
    <w:p>
      <w:pPr>
        <w:pStyle w:val="Normal"/>
        <w:jc w:val="center"/>
        <w:rPr/>
      </w:pPr>
      <w:bookmarkStart w:id="0" w:name="__DdeLink__218_385081146"/>
      <w:r>
        <w:rPr>
          <w:b/>
        </w:rPr>
        <w:t xml:space="preserve"> </w:t>
      </w:r>
      <w:bookmarkEnd w:id="0"/>
      <w:r>
        <w:rPr>
          <w:b/>
        </w:rPr>
        <w:t>без объявления цены</w:t>
      </w:r>
    </w:p>
    <w:p>
      <w:pPr>
        <w:pStyle w:val="Normal"/>
        <w:jc w:val="center"/>
        <w:rPr>
          <w:b/>
          <w:b/>
          <w:sz w:val="20"/>
          <w:szCs w:val="20"/>
        </w:rPr>
      </w:pPr>
      <w:r>
        <w:rPr>
          <w:b/>
          <w:sz w:val="20"/>
          <w:szCs w:val="20"/>
        </w:rPr>
      </w:r>
    </w:p>
    <w:p>
      <w:pPr>
        <w:pStyle w:val="Normal"/>
        <w:ind w:left="0" w:firstLine="680"/>
        <w:jc w:val="both"/>
        <w:rPr/>
      </w:pPr>
      <w:r>
        <w:rPr>
          <w:sz w:val="28"/>
          <w:szCs w:val="28"/>
        </w:rPr>
        <w:t>Администрация Ровеньского района информирует о проведении продажи муниципального имущества Ровеньского района без объявления цены в электронной форме</w:t>
      </w:r>
      <w:r>
        <w:rPr/>
        <w:t xml:space="preserve">, в порядке приватизации на универсальной торговой платформе АО «Сбербанк – Автоматизированная система торгов» (далее УТП АО «Сбербанк – АСТ») на сайте </w:t>
      </w:r>
      <w:hyperlink r:id="rId2">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w:t>
      </w:r>
    </w:p>
    <w:p>
      <w:pPr>
        <w:pStyle w:val="Normal"/>
        <w:ind w:left="0" w:firstLine="680"/>
        <w:jc w:val="both"/>
        <w:rPr/>
      </w:pPr>
      <w:r>
        <w:rPr/>
        <w:t xml:space="preserve">Указанное в настоящем информационном сообщении время московское. При истечении сроков, указанных в настоящем информационном сообщении, принимается время сервера электронной торговой площадки – московское. </w:t>
      </w:r>
    </w:p>
    <w:p>
      <w:pPr>
        <w:pStyle w:val="ConsPlusNormal"/>
        <w:widowControl w:val="false"/>
        <w:bidi w:val="0"/>
        <w:ind w:left="0" w:right="0" w:firstLine="737"/>
        <w:jc w:val="both"/>
        <w:rPr/>
      </w:pPr>
      <w:r>
        <w:rPr>
          <w:rFonts w:cs="Times New Roman" w:ascii="Times New Roman" w:hAnsi="Times New Roman"/>
          <w:b/>
          <w:i w:val="false"/>
          <w:iCs w:val="false"/>
          <w:color w:val="000000"/>
          <w:sz w:val="28"/>
          <w:szCs w:val="28"/>
        </w:rPr>
        <w:t>Наименование органа местного самоуправления, принявшего решение о</w:t>
      </w:r>
      <w:r>
        <w:rPr>
          <w:rFonts w:eastAsia="Calibri" w:cs="Times New Roman" w:ascii="Times New Roman" w:hAnsi="Times New Roman"/>
          <w:b/>
          <w:i w:val="false"/>
          <w:iCs w:val="false"/>
          <w:color w:val="000000"/>
          <w:sz w:val="28"/>
          <w:szCs w:val="28"/>
          <w:lang w:eastAsia="en-US"/>
        </w:rPr>
        <w:t>б условиях приватизации муниципального имущества, реквизиты указанного решения:</w:t>
      </w:r>
      <w:r>
        <w:rPr>
          <w:i w:val="false"/>
          <w:iCs w:val="false"/>
          <w:color w:val="000000"/>
        </w:rPr>
        <w:t xml:space="preserve"> </w:t>
      </w:r>
      <w:r>
        <w:rPr>
          <w:rFonts w:cs="Times New Roman" w:ascii="Times New Roman" w:hAnsi="Times New Roman"/>
          <w:i w:val="false"/>
          <w:iCs w:val="false"/>
          <w:color w:val="000000"/>
          <w:sz w:val="28"/>
          <w:szCs w:val="28"/>
        </w:rPr>
        <w:t>Администрация Ровеньского района;</w:t>
      </w:r>
      <w:r>
        <w:rPr>
          <w:i w:val="false"/>
          <w:iCs w:val="false"/>
          <w:color w:val="000000"/>
        </w:rPr>
        <w:t xml:space="preserve"> </w:t>
      </w:r>
      <w:r>
        <w:rPr>
          <w:rFonts w:cs="Times New Roman" w:ascii="Times New Roman" w:hAnsi="Times New Roman"/>
          <w:i w:val="false"/>
          <w:iCs w:val="false"/>
          <w:color w:val="000000"/>
          <w:sz w:val="28"/>
          <w:szCs w:val="28"/>
        </w:rPr>
        <w:t xml:space="preserve">постановление от             </w:t>
      </w:r>
      <w:r>
        <w:rPr>
          <w:rFonts w:cs="Times New Roman" w:ascii="Times New Roman" w:hAnsi="Times New Roman"/>
          <w:i w:val="false"/>
          <w:iCs w:val="false"/>
          <w:color w:val="000000"/>
          <w:sz w:val="28"/>
          <w:szCs w:val="28"/>
          <w:highlight w:val="yellow"/>
        </w:rPr>
        <w:t xml:space="preserve"> </w:t>
      </w:r>
      <w:r>
        <w:rPr>
          <w:rFonts w:cs="Times New Roman" w:ascii="Times New Roman" w:hAnsi="Times New Roman"/>
          <w:i w:val="false"/>
          <w:iCs w:val="false"/>
          <w:color w:val="000000"/>
          <w:sz w:val="28"/>
          <w:szCs w:val="28"/>
        </w:rPr>
        <w:t>26 апреля 2023 года № 199 «Об утверждении решения об условиях приватизации муниципального имущества».</w:t>
      </w:r>
    </w:p>
    <w:p>
      <w:pPr>
        <w:pStyle w:val="Normal"/>
        <w:tabs>
          <w:tab w:val="left" w:pos="0" w:leader="none"/>
          <w:tab w:val="left" w:pos="4500" w:leader="none"/>
        </w:tabs>
        <w:ind w:left="709" w:hanging="0"/>
        <w:jc w:val="both"/>
        <w:rPr/>
      </w:pPr>
      <w:r>
        <w:rPr>
          <w:b/>
        </w:rPr>
        <w:t>Наименование и характеристика имущества:</w:t>
      </w:r>
    </w:p>
    <w:p>
      <w:pPr>
        <w:pStyle w:val="Style18"/>
        <w:tabs>
          <w:tab w:val="left" w:pos="851" w:leader="none"/>
        </w:tabs>
        <w:spacing w:before="0" w:after="0"/>
        <w:jc w:val="both"/>
        <w:rPr/>
      </w:pPr>
      <w:r>
        <w:rPr>
          <w:rFonts w:cs="Times New Roman"/>
          <w:b w:val="false"/>
          <w:bCs w:val="false"/>
          <w:color w:val="000000"/>
          <w:spacing w:val="-2"/>
          <w:sz w:val="28"/>
          <w:szCs w:val="28"/>
          <w:lang w:val="ru-RU"/>
        </w:rPr>
        <w:tab/>
        <w:t xml:space="preserve">Лот №1 - </w:t>
      </w:r>
      <w:bookmarkStart w:id="1" w:name="__DdeLink__245_1618794082"/>
      <w:r>
        <w:rPr>
          <w:rFonts w:cs="Times New Roman"/>
          <w:b w:val="false"/>
          <w:bCs w:val="false"/>
          <w:color w:val="000000"/>
          <w:spacing w:val="-2"/>
          <w:sz w:val="28"/>
          <w:szCs w:val="28"/>
          <w:lang w:val="ru-RU"/>
        </w:rPr>
        <w:t>автобус для перевозки детей марки ПАЗ</w:t>
      </w:r>
      <w:bookmarkEnd w:id="1"/>
      <w:r>
        <w:rPr>
          <w:rFonts w:cs="Times New Roman"/>
          <w:b w:val="false"/>
          <w:bCs w:val="false"/>
          <w:color w:val="000000"/>
          <w:spacing w:val="-2"/>
          <w:sz w:val="28"/>
          <w:szCs w:val="28"/>
          <w:lang w:val="ru-RU"/>
        </w:rPr>
        <w:t xml:space="preserve"> 32053-70, 2008 года изготовления, идентификационный номер (</w:t>
      </w:r>
      <w:r>
        <w:rPr>
          <w:rFonts w:cs="Times New Roman"/>
          <w:b w:val="false"/>
          <w:bCs w:val="false"/>
          <w:color w:val="000000"/>
          <w:spacing w:val="-2"/>
          <w:sz w:val="28"/>
          <w:szCs w:val="28"/>
          <w:lang w:val="en-US"/>
        </w:rPr>
        <w:t>VIN</w:t>
      </w:r>
      <w:r>
        <w:rPr>
          <w:rFonts w:cs="Times New Roman"/>
          <w:b w:val="false"/>
          <w:bCs w:val="false"/>
          <w:color w:val="000000"/>
          <w:spacing w:val="-2"/>
          <w:sz w:val="28"/>
          <w:szCs w:val="28"/>
          <w:lang w:val="ru-RU"/>
        </w:rPr>
        <w:t xml:space="preserve">) </w:t>
      </w:r>
      <w:r>
        <w:rPr>
          <w:rFonts w:cs="Times New Roman"/>
          <w:b w:val="false"/>
          <w:bCs w:val="false"/>
          <w:color w:val="000000"/>
          <w:spacing w:val="-2"/>
          <w:sz w:val="28"/>
          <w:szCs w:val="28"/>
          <w:lang w:val="en-US"/>
        </w:rPr>
        <w:t>X1</w:t>
      </w:r>
      <w:r>
        <w:rPr>
          <w:rFonts w:cs="Times New Roman"/>
          <w:b w:val="false"/>
          <w:bCs w:val="false"/>
          <w:color w:val="000000"/>
          <w:spacing w:val="-2"/>
          <w:sz w:val="28"/>
          <w:szCs w:val="28"/>
          <w:lang w:val="ru-RU"/>
        </w:rPr>
        <w:t xml:space="preserve">М3205СХ80008106, модель, № двигателя 523400, 81018514, кузов (кабина, прицеп) № </w:t>
      </w:r>
      <w:r>
        <w:rPr>
          <w:rFonts w:cs="Times New Roman"/>
          <w:b w:val="false"/>
          <w:bCs w:val="false"/>
          <w:color w:val="000000"/>
          <w:spacing w:val="-2"/>
          <w:sz w:val="28"/>
          <w:szCs w:val="28"/>
          <w:lang w:val="en-US"/>
        </w:rPr>
        <w:t>X1</w:t>
      </w:r>
      <w:r>
        <w:rPr>
          <w:rFonts w:cs="Times New Roman"/>
          <w:b w:val="false"/>
          <w:bCs w:val="false"/>
          <w:color w:val="000000"/>
          <w:spacing w:val="-2"/>
          <w:sz w:val="28"/>
          <w:szCs w:val="28"/>
          <w:lang w:val="ru-RU"/>
        </w:rPr>
        <w:t>М3205СХ80008106, цвет кузова (кабины, прицепа) желтый,  мощность двигателя 130 л.с.,  рабочий объем двигателя 4670 куб.см, тип двигателя – бензиновый, разрешенная максимальная масса 6270 кг, масса без нагрузки 5080 кг, паспорт транспортного средства 52 МР 287245, выдан ООО «Павловский автобусный завод» г.Павлово Нижегородской обл., ул. Суворова, 1, дата выдачи 27 августа 2008 года, (</w:t>
      </w:r>
      <w:bookmarkStart w:id="2" w:name="__DdeLink__199_2199984011"/>
      <w:r>
        <w:rPr>
          <w:rFonts w:cs="Times New Roman"/>
          <w:b w:val="false"/>
          <w:bCs w:val="false"/>
          <w:color w:val="000000"/>
          <w:spacing w:val="-2"/>
          <w:sz w:val="28"/>
          <w:szCs w:val="28"/>
          <w:lang w:val="ru-RU"/>
        </w:rPr>
        <w:t>не на ходу - требуется ремонт</w:t>
      </w:r>
      <w:bookmarkEnd w:id="2"/>
      <w:r>
        <w:rPr>
          <w:rFonts w:cs="Times New Roman"/>
          <w:b w:val="false"/>
          <w:bCs w:val="false"/>
          <w:color w:val="000000"/>
          <w:spacing w:val="-2"/>
          <w:sz w:val="28"/>
          <w:szCs w:val="28"/>
          <w:lang w:val="ru-RU"/>
        </w:rPr>
        <w:t>).</w:t>
      </w:r>
    </w:p>
    <w:p>
      <w:pPr>
        <w:pStyle w:val="Style18"/>
        <w:tabs>
          <w:tab w:val="left" w:pos="851" w:leader="none"/>
        </w:tabs>
        <w:spacing w:before="0" w:after="0"/>
        <w:jc w:val="both"/>
        <w:rPr/>
      </w:pPr>
      <w:r>
        <w:rPr>
          <w:b/>
          <w:bCs/>
          <w:sz w:val="28"/>
          <w:szCs w:val="28"/>
        </w:rPr>
        <w:tab/>
        <w:t>Способ приватизации:</w:t>
      </w:r>
      <w:r>
        <w:rPr>
          <w:bCs/>
          <w:sz w:val="28"/>
          <w:szCs w:val="28"/>
        </w:rPr>
        <w:t xml:space="preserve"> продажа муниципального имущества без объявления цены</w:t>
      </w:r>
      <w:r>
        <w:rPr>
          <w:sz w:val="28"/>
          <w:szCs w:val="28"/>
        </w:rPr>
        <w:t>.</w:t>
      </w:r>
    </w:p>
    <w:p>
      <w:pPr>
        <w:pStyle w:val="Normal"/>
        <w:tabs>
          <w:tab w:val="left" w:pos="0" w:leader="none"/>
        </w:tabs>
        <w:ind w:left="0" w:firstLine="709"/>
        <w:jc w:val="both"/>
        <w:rPr/>
      </w:pPr>
      <w:r>
        <w:rPr>
          <w:b/>
          <w:bCs/>
        </w:rPr>
        <w:t>Форма подачи предложений о цене</w:t>
      </w:r>
      <w:r>
        <w:rPr>
          <w:bCs/>
        </w:rPr>
        <w:t>: Предложение о цене имущества подается в форме отдельного электронного документа, которому оператор электронной площадки обеспечивает дополнительную степень защиты от несанкционированного просмотра.</w:t>
      </w:r>
    </w:p>
    <w:p>
      <w:pPr>
        <w:pStyle w:val="Normal"/>
        <w:widowControl/>
        <w:numPr>
          <w:ilvl w:val="0"/>
          <w:numId w:val="0"/>
        </w:numPr>
        <w:tabs>
          <w:tab w:val="left" w:pos="0" w:leader="none"/>
        </w:tabs>
        <w:ind w:left="0" w:firstLine="709"/>
        <w:jc w:val="both"/>
        <w:outlineLvl w:val="1"/>
        <w:rPr/>
      </w:pPr>
      <w:r>
        <w:rPr>
          <w:b/>
        </w:rPr>
        <w:t>Условия и сроки платежа, реквизиты счетов</w:t>
      </w:r>
      <w:r>
        <w:rPr/>
        <w:t xml:space="preserve">: </w:t>
      </w:r>
      <w:bookmarkStart w:id="3" w:name="__DdeLink__267_1200119388"/>
      <w:r>
        <w:rPr/>
        <w:t xml:space="preserve">Денежные средства в счет оплаты муниципального имущества </w:t>
      </w:r>
      <w:r>
        <w:rPr>
          <w:color w:val="000000"/>
        </w:rPr>
        <w:t>подлежат перечислению победителем в установленном порядке в бюджет не позднее 30 рабочих дней со дня заключения договора купли-продажи</w:t>
      </w:r>
      <w:bookmarkEnd w:id="3"/>
      <w:r>
        <w:rPr>
          <w:color w:val="000000"/>
        </w:rPr>
        <w:t xml:space="preserve"> по реквизитам: </w:t>
      </w:r>
    </w:p>
    <w:p>
      <w:pPr>
        <w:pStyle w:val="Normal"/>
        <w:widowControl/>
        <w:numPr>
          <w:ilvl w:val="0"/>
          <w:numId w:val="0"/>
        </w:numPr>
        <w:tabs>
          <w:tab w:val="left" w:pos="0" w:leader="none"/>
        </w:tabs>
        <w:ind w:left="0" w:firstLine="709"/>
        <w:jc w:val="both"/>
        <w:outlineLvl w:val="1"/>
        <w:rPr/>
      </w:pPr>
      <w:r>
        <w:rPr>
          <w:rFonts w:cs="Times New Roman"/>
          <w:color w:val="000000"/>
          <w:sz w:val="28"/>
          <w:szCs w:val="28"/>
        </w:rPr>
        <w:t xml:space="preserve">УФК по Белгородской области (04263009370 Администрация Ровеньского района) ИНН 3117001001, КПП 311701001 </w:t>
      </w:r>
      <w:r>
        <w:rPr>
          <w:rFonts w:cs="Times New Roman"/>
          <w:b w:val="false"/>
          <w:bCs w:val="false"/>
          <w:color w:val="000000"/>
          <w:sz w:val="28"/>
          <w:szCs w:val="28"/>
        </w:rPr>
        <w:t>р/сч: 03100643000000012600, кор/сч:</w:t>
      </w:r>
      <w:r>
        <w:rPr>
          <w:rFonts w:cs="Times New Roman"/>
          <w:b w:val="false"/>
          <w:bCs w:val="false"/>
          <w:color w:val="000000"/>
          <w:sz w:val="28"/>
          <w:szCs w:val="28"/>
          <w:lang w:val="en-US"/>
        </w:rPr>
        <w:t xml:space="preserve"> 40102810745370000018, </w:t>
      </w:r>
      <w:r>
        <w:rPr>
          <w:rFonts w:cs="Times New Roman"/>
          <w:b w:val="false"/>
          <w:bCs w:val="false"/>
          <w:color w:val="000000"/>
          <w:sz w:val="28"/>
          <w:szCs w:val="28"/>
        </w:rPr>
        <w:t>Банк:  ОТДЕЛЕНИЕ БЕЛГОРОД//УФК по Белгородской области г.Белгород, Бик: 011403102, КБК 85011402053050000410, ОКТМО 14650000</w:t>
      </w:r>
      <w:r>
        <w:rPr/>
        <w:t xml:space="preserve"> назначение платежа: Доходы от реализации иного имущества, находящегося в собственности муниципальных районов (основных средств) по договору купли-продажи муниципального имущества от __________20___г. № _____. </w:t>
      </w:r>
    </w:p>
    <w:p>
      <w:pPr>
        <w:pStyle w:val="Normal"/>
        <w:widowControl/>
        <w:numPr>
          <w:ilvl w:val="0"/>
          <w:numId w:val="0"/>
        </w:numPr>
        <w:tabs>
          <w:tab w:val="left" w:pos="0" w:leader="none"/>
        </w:tabs>
        <w:ind w:left="0" w:firstLine="709"/>
        <w:jc w:val="both"/>
        <w:outlineLvl w:val="1"/>
        <w:rPr>
          <w:sz w:val="20"/>
          <w:szCs w:val="20"/>
        </w:rPr>
      </w:pPr>
      <w:r>
        <w:rPr/>
        <w:t>Рассрочка платежа не предоставляется.</w:t>
      </w:r>
    </w:p>
    <w:p>
      <w:pPr>
        <w:pStyle w:val="Normal"/>
        <w:ind w:left="0" w:firstLine="709"/>
        <w:jc w:val="both"/>
        <w:rPr>
          <w:color w:val="0066B3"/>
        </w:rPr>
      </w:pPr>
      <w:r>
        <w:rPr>
          <w:b/>
          <w:color w:val="000000"/>
        </w:rPr>
        <w:t xml:space="preserve">Размер задатка, сроки и порядок внесения и возвращения задатка, назначение платежа, реквизиты счетов: </w:t>
      </w:r>
      <w:r>
        <w:rPr>
          <w:b w:val="false"/>
          <w:bCs w:val="false"/>
          <w:i w:val="false"/>
          <w:iCs w:val="false"/>
          <w:color w:val="000000"/>
          <w:sz w:val="28"/>
          <w:szCs w:val="28"/>
        </w:rPr>
        <w:t>Внесение задатка не предусматривается.</w:t>
      </w:r>
    </w:p>
    <w:p>
      <w:pPr>
        <w:pStyle w:val="Normal"/>
        <w:widowControl/>
        <w:numPr>
          <w:ilvl w:val="0"/>
          <w:numId w:val="0"/>
        </w:numPr>
        <w:ind w:left="0" w:firstLine="680"/>
        <w:jc w:val="both"/>
        <w:outlineLvl w:val="1"/>
        <w:rPr/>
      </w:pPr>
      <w:r>
        <w:rPr>
          <w:b/>
        </w:rPr>
        <w:t>Порядок, дата и время регистрации на сайте в сети «Интернет» претендентов:</w:t>
      </w:r>
      <w:r>
        <w:rPr/>
        <w:t xml:space="preserve"> для обеспечения доступа к участию в продаже без объявления цены электронной форме претендентам необходимо пройти процедуру регистрации на сайте </w:t>
      </w:r>
      <w:hyperlink r:id="rId3">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w:t>
      </w:r>
      <w:r>
        <w:rPr>
          <w:i w:val="false"/>
          <w:iCs w:val="false"/>
          <w:color w:val="000000"/>
        </w:rPr>
        <w:t>Регистрации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торговой секции «Приватизация, аренда и продажа прав» УТП АО «Сбербанк – АСТ».</w:t>
      </w:r>
    </w:p>
    <w:p>
      <w:pPr>
        <w:pStyle w:val="Normal"/>
        <w:widowControl/>
        <w:numPr>
          <w:ilvl w:val="0"/>
          <w:numId w:val="0"/>
        </w:numPr>
        <w:ind w:left="0" w:firstLine="680"/>
        <w:jc w:val="both"/>
        <w:outlineLvl w:val="1"/>
        <w:rPr/>
      </w:pPr>
      <w:r>
        <w:rPr>
          <w:b/>
        </w:rPr>
        <w:t>Порядок, место, даты начала и окончания подачи заявок на участие в продаже без объявления цены:</w:t>
      </w:r>
    </w:p>
    <w:p>
      <w:pPr>
        <w:pStyle w:val="Normal"/>
        <w:widowControl/>
        <w:numPr>
          <w:ilvl w:val="0"/>
          <w:numId w:val="0"/>
        </w:numPr>
        <w:ind w:left="0" w:firstLine="680"/>
        <w:jc w:val="both"/>
        <w:outlineLvl w:val="1"/>
        <w:rPr/>
      </w:pPr>
      <w:r>
        <w:rPr/>
        <w:t>З</w:t>
      </w:r>
      <w:r>
        <w:rPr>
          <w:b w:val="false"/>
          <w:bCs w:val="false"/>
        </w:rPr>
        <w:t xml:space="preserve">аявки на участие в  продаже муниципального имуществом </w:t>
      </w:r>
      <w:bookmarkStart w:id="4" w:name="__DdeLink__218_3850811461"/>
      <w:r>
        <w:rPr>
          <w:b w:val="false"/>
          <w:bCs w:val="false"/>
        </w:rPr>
        <w:t>б</w:t>
      </w:r>
      <w:bookmarkEnd w:id="4"/>
      <w:r>
        <w:rPr>
          <w:b w:val="false"/>
          <w:bCs w:val="false"/>
        </w:rPr>
        <w:t>ез объявления цены</w:t>
      </w:r>
      <w:r>
        <w:rPr/>
        <w:t xml:space="preserve"> принимаются (согласно приложения №1) на торговой площадке АО «Сбербанк – </w:t>
      </w:r>
      <w:r>
        <w:rPr>
          <w:i w:val="false"/>
          <w:iCs w:val="false"/>
          <w:color w:val="000000"/>
        </w:rPr>
        <w:t>АСТ» с 00:00 05 мая 2023 г. по 23:00 05 июня 2023г. включительно, без</w:t>
      </w:r>
      <w:r>
        <w:rPr>
          <w:color w:val="000000"/>
        </w:rPr>
        <w:t xml:space="preserve"> перерыва и выходных по адресу: </w:t>
      </w:r>
      <w:hyperlink r:id="rId4">
        <w:r>
          <w:rPr>
            <w:rStyle w:val="Style15"/>
            <w:color w:val="000000"/>
            <w:u w:val="none"/>
          </w:rPr>
          <w:t>http://</w:t>
        </w:r>
        <w:r>
          <w:rPr>
            <w:rStyle w:val="Style15"/>
            <w:color w:val="000000"/>
            <w:u w:val="none"/>
            <w:lang w:val="en-US"/>
          </w:rPr>
          <w:t>utp</w:t>
        </w:r>
        <w:r>
          <w:rPr>
            <w:rStyle w:val="Style15"/>
            <w:color w:val="000000"/>
            <w:u w:val="none"/>
          </w:rPr>
          <w:t>.sberbank-ast.ru</w:t>
        </w:r>
      </w:hyperlink>
      <w:r>
        <w:rPr>
          <w:color w:val="000000"/>
        </w:rPr>
        <w:t xml:space="preserve">. </w:t>
      </w:r>
    </w:p>
    <w:p>
      <w:pPr>
        <w:pStyle w:val="Normal"/>
        <w:widowControl/>
        <w:numPr>
          <w:ilvl w:val="0"/>
          <w:numId w:val="0"/>
        </w:numPr>
        <w:ind w:left="0" w:firstLine="680"/>
        <w:jc w:val="both"/>
        <w:outlineLvl w:val="1"/>
        <w:rPr>
          <w:color w:val="000000"/>
        </w:rPr>
      </w:pPr>
      <w:r>
        <w:rPr>
          <w:color w:val="000000"/>
        </w:rPr>
        <w:t>В день подведения итогов продажи муниципального имущества без объявления цены оператор электронной площадки через «личный кабинет» продавца обеспечивает доступ продавца к поданным претендентами документам, а также к журналу приема заявок.</w:t>
      </w:r>
    </w:p>
    <w:p>
      <w:pPr>
        <w:pStyle w:val="Normal"/>
        <w:widowControl/>
        <w:numPr>
          <w:ilvl w:val="0"/>
          <w:numId w:val="0"/>
        </w:numPr>
        <w:ind w:left="0" w:firstLine="680"/>
        <w:jc w:val="both"/>
        <w:outlineLvl w:val="1"/>
        <w:rPr>
          <w:color w:val="000000"/>
        </w:rPr>
      </w:pPr>
      <w:r>
        <w:rPr>
          <w:color w:val="000000"/>
        </w:rPr>
        <w:t>В закрытой части электронной площадки размещаются имена (наименования) участников и поданные ими предложения о цене имущества.</w:t>
      </w:r>
    </w:p>
    <w:p>
      <w:pPr>
        <w:pStyle w:val="Normal"/>
        <w:widowControl/>
        <w:numPr>
          <w:ilvl w:val="0"/>
          <w:numId w:val="0"/>
        </w:numPr>
        <w:ind w:left="0" w:firstLine="680"/>
        <w:jc w:val="both"/>
        <w:outlineLvl w:val="1"/>
        <w:rPr>
          <w:color w:val="0066B3"/>
        </w:rPr>
      </w:pPr>
      <w:r>
        <w:rPr>
          <w:color w:val="000000"/>
        </w:rPr>
        <w:t>Для участия в продаже имущества без объявления цены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продажи имущества без объявления цены, а также направляют свои предложения о цене имущества.</w:t>
      </w:r>
    </w:p>
    <w:p>
      <w:pPr>
        <w:pStyle w:val="Normal"/>
        <w:widowControl/>
        <w:numPr>
          <w:ilvl w:val="0"/>
          <w:numId w:val="0"/>
        </w:numPr>
        <w:ind w:left="0" w:firstLine="680"/>
        <w:jc w:val="both"/>
        <w:outlineLvl w:val="1"/>
        <w:rPr>
          <w:color w:val="0066B3"/>
        </w:rPr>
      </w:pPr>
      <w:r>
        <w:rPr>
          <w:color w:val="000000"/>
        </w:rPr>
        <w:t>Зарегистрированная заявка является поступившим продавцу предложением (офертой) претендента, выражающим его намерение считать себя лицом, заключившим с продавцом договор купли-продажи имущества по предлагаемой претендентом цене имущества.</w:t>
      </w:r>
    </w:p>
    <w:p>
      <w:pPr>
        <w:pStyle w:val="Normal"/>
        <w:widowControl/>
        <w:numPr>
          <w:ilvl w:val="0"/>
          <w:numId w:val="0"/>
        </w:numPr>
        <w:ind w:left="0" w:firstLine="680"/>
        <w:jc w:val="both"/>
        <w:outlineLvl w:val="1"/>
        <w:rPr>
          <w:color w:val="0066B3"/>
        </w:rPr>
      </w:pPr>
      <w:r>
        <w:rPr>
          <w:color w:val="000000"/>
        </w:rPr>
        <w:t>Претендент не вправе отозвать зарегистрированную заявку. Претендент вправе подать только одно предложение по цене имущества, которое не может быть изменено.</w:t>
      </w:r>
    </w:p>
    <w:p>
      <w:pPr>
        <w:pStyle w:val="Normal"/>
        <w:widowControl/>
        <w:numPr>
          <w:ilvl w:val="0"/>
          <w:numId w:val="0"/>
        </w:numPr>
        <w:ind w:left="0" w:firstLine="680"/>
        <w:jc w:val="both"/>
        <w:outlineLvl w:val="1"/>
        <w:rPr>
          <w:color w:val="0066B3"/>
        </w:rPr>
      </w:pPr>
      <w:r>
        <w:rPr>
          <w:color w:val="000000"/>
        </w:rPr>
        <w:t>Продавец отказывает претенденту в приеме заявок в следующих случаях:</w:t>
      </w:r>
    </w:p>
    <w:p>
      <w:pPr>
        <w:pStyle w:val="Normal"/>
        <w:widowControl/>
        <w:numPr>
          <w:ilvl w:val="0"/>
          <w:numId w:val="0"/>
        </w:numPr>
        <w:ind w:left="0" w:firstLine="680"/>
        <w:jc w:val="both"/>
        <w:outlineLvl w:val="1"/>
        <w:rPr>
          <w:color w:val="0066B3"/>
        </w:rPr>
      </w:pPr>
      <w:r>
        <w:rPr>
          <w:color w:val="000000"/>
        </w:rPr>
        <w:t>- заявка представлена лицом, не уполномоченным претендентом на осуществления таких действий;</w:t>
      </w:r>
    </w:p>
    <w:p>
      <w:pPr>
        <w:pStyle w:val="Normal"/>
        <w:widowControl/>
        <w:numPr>
          <w:ilvl w:val="0"/>
          <w:numId w:val="0"/>
        </w:numPr>
        <w:ind w:left="0" w:firstLine="680"/>
        <w:jc w:val="both"/>
        <w:outlineLvl w:val="1"/>
        <w:rPr>
          <w:color w:val="0066B3"/>
        </w:rPr>
      </w:pPr>
      <w:r>
        <w:rPr>
          <w:color w:val="000000"/>
        </w:rPr>
        <w:t>- представлены не все документы, предусмотренные перечнем, указанным в информационным сообщении о продаже имущества без объявления цены;</w:t>
      </w:r>
    </w:p>
    <w:p>
      <w:pPr>
        <w:pStyle w:val="Normal"/>
        <w:widowControl/>
        <w:numPr>
          <w:ilvl w:val="0"/>
          <w:numId w:val="0"/>
        </w:numPr>
        <w:ind w:left="0" w:firstLine="680"/>
        <w:jc w:val="both"/>
        <w:outlineLvl w:val="1"/>
        <w:rPr>
          <w:color w:val="000000"/>
        </w:rPr>
      </w:pPr>
      <w:r>
        <w:rPr>
          <w:color w:val="000000"/>
        </w:rPr>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pPr>
        <w:pStyle w:val="Normal"/>
        <w:numPr>
          <w:ilvl w:val="0"/>
          <w:numId w:val="0"/>
        </w:numPr>
        <w:ind w:left="0" w:firstLine="680"/>
        <w:jc w:val="both"/>
        <w:outlineLvl w:val="1"/>
        <w:rPr>
          <w:b/>
          <w:b/>
        </w:rPr>
      </w:pPr>
      <w:r>
        <w:rPr>
          <w:b/>
        </w:rPr>
        <w:t>Одновременно с заявкой претенденты представляют следующие документы:</w:t>
      </w:r>
    </w:p>
    <w:p>
      <w:pPr>
        <w:pStyle w:val="Normal"/>
        <w:numPr>
          <w:ilvl w:val="0"/>
          <w:numId w:val="0"/>
        </w:numPr>
        <w:ind w:left="0" w:firstLine="680"/>
        <w:jc w:val="both"/>
        <w:outlineLvl w:val="1"/>
        <w:rPr>
          <w:highlight w:val="yellow"/>
        </w:rPr>
      </w:pPr>
      <w:r>
        <w:rPr/>
        <w:t>юридические лица:</w:t>
      </w:r>
    </w:p>
    <w:p>
      <w:pPr>
        <w:pStyle w:val="Normal"/>
        <w:numPr>
          <w:ilvl w:val="0"/>
          <w:numId w:val="0"/>
        </w:numPr>
        <w:ind w:left="0" w:firstLine="680"/>
        <w:jc w:val="both"/>
        <w:outlineLvl w:val="1"/>
        <w:rPr>
          <w:highlight w:val="yellow"/>
        </w:rPr>
      </w:pPr>
      <w:r>
        <w:rPr/>
        <w:t>копии учредительных документов;</w:t>
      </w:r>
    </w:p>
    <w:p>
      <w:pPr>
        <w:pStyle w:val="Normal"/>
        <w:numPr>
          <w:ilvl w:val="0"/>
          <w:numId w:val="0"/>
        </w:numPr>
        <w:ind w:left="0" w:firstLine="680"/>
        <w:jc w:val="both"/>
        <w:outlineLvl w:val="1"/>
        <w:rPr>
          <w:highlight w:val="yellow"/>
        </w:rPr>
      </w:pPr>
      <w:r>
        <w:rPr/>
        <w:t>документ, содержащий сведения о доле Российской Федерации, субъекта Российской Федерации или муниципального образования в уставном капитале</w:t>
      </w:r>
      <w:r>
        <w:rPr>
          <w:highlight w:val="yellow"/>
        </w:rPr>
        <w:t xml:space="preserve"> </w:t>
      </w:r>
      <w:r>
        <w:rPr/>
        <w:t>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numPr>
          <w:ilvl w:val="0"/>
          <w:numId w:val="0"/>
        </w:numPr>
        <w:ind w:left="0" w:firstLine="680"/>
        <w:jc w:val="both"/>
        <w:outlineLvl w:val="1"/>
        <w:rPr>
          <w:highlight w:val="yellow"/>
        </w:rPr>
      </w:pPr>
      <w:r>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numPr>
          <w:ilvl w:val="0"/>
          <w:numId w:val="0"/>
        </w:numPr>
        <w:ind w:left="0" w:firstLine="680"/>
        <w:jc w:val="both"/>
        <w:outlineLvl w:val="1"/>
        <w:rPr>
          <w:highlight w:val="yellow"/>
        </w:rPr>
      </w:pPr>
      <w:r>
        <w:rPr/>
        <w:t>физические лица предъявляют документ, удостоверяющий личность, или представляют копии всех его листов.</w:t>
      </w:r>
    </w:p>
    <w:p>
      <w:pPr>
        <w:pStyle w:val="Normal"/>
        <w:numPr>
          <w:ilvl w:val="0"/>
          <w:numId w:val="0"/>
        </w:numPr>
        <w:ind w:left="0" w:firstLine="680"/>
        <w:jc w:val="both"/>
        <w:outlineLvl w:val="1"/>
        <w:rPr/>
      </w:pPr>
      <w:r>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5">
        <w:r>
          <w:rPr>
            <w:rStyle w:val="ListLabel3"/>
          </w:rPr>
          <w:t>порядке</w:t>
        </w:r>
      </w:hyperlink>
      <w:r>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numPr>
          <w:ilvl w:val="0"/>
          <w:numId w:val="0"/>
        </w:numPr>
        <w:ind w:left="0" w:firstLine="680"/>
        <w:jc w:val="both"/>
        <w:outlineLvl w:val="1"/>
        <w:rPr/>
      </w:pPr>
      <w:r>
        <w:rPr/>
        <w:t xml:space="preserve">Также претенденты направляют свои предложения о цене </w:t>
      </w:r>
      <w:r>
        <w:rPr>
          <w:color w:val="000000"/>
        </w:rPr>
        <w:t>(Приложения №2).</w:t>
      </w:r>
    </w:p>
    <w:p>
      <w:pPr>
        <w:pStyle w:val="Normal"/>
        <w:numPr>
          <w:ilvl w:val="0"/>
          <w:numId w:val="0"/>
        </w:numPr>
        <w:ind w:left="0" w:firstLine="680"/>
        <w:jc w:val="both"/>
        <w:outlineLvl w:val="1"/>
        <w:rPr>
          <w:i/>
          <w:i/>
          <w:iCs/>
          <w:color w:val="5565AF"/>
        </w:rPr>
      </w:pPr>
      <w:r>
        <w:rPr>
          <w:i w:val="false"/>
          <w:iCs w:val="false"/>
          <w:color w:val="000000"/>
        </w:rPr>
        <w:t xml:space="preserve">Все документы должны предоставляться в электронной форме или в виде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их имени. </w:t>
      </w:r>
    </w:p>
    <w:p>
      <w:pPr>
        <w:pStyle w:val="Normal"/>
        <w:ind w:left="0" w:firstLine="680"/>
        <w:jc w:val="both"/>
        <w:rPr/>
      </w:pPr>
      <w:r>
        <w:rPr>
          <w:rFonts w:eastAsia="Times New Roman" w:cs="Times New Roman"/>
          <w:b/>
          <w:bCs/>
          <w:color w:val="00000A"/>
          <w:spacing w:val="0"/>
          <w:sz w:val="28"/>
          <w:szCs w:val="28"/>
          <w:shd w:fill="auto" w:val="clear"/>
        </w:rPr>
        <w:t>Дата рассмотрения заявок, предложений и документов претендентов продажи муниципального имущества без объявления цены и подведения итогов продажи -07</w:t>
      </w:r>
      <w:r>
        <w:rPr>
          <w:rFonts w:eastAsia="Times New Roman" w:cs="Times New Roman"/>
          <w:b/>
          <w:bCs/>
          <w:color w:val="00000A"/>
          <w:spacing w:val="0"/>
          <w:sz w:val="28"/>
          <w:szCs w:val="28"/>
        </w:rPr>
        <w:t xml:space="preserve"> и</w:t>
      </w:r>
      <w:r>
        <w:rPr>
          <w:rFonts w:eastAsia="Times New Roman" w:cs="Times New Roman"/>
          <w:b/>
          <w:bCs/>
          <w:color w:val="00000A"/>
          <w:spacing w:val="0"/>
          <w:sz w:val="28"/>
          <w:szCs w:val="28"/>
          <w:shd w:fill="auto" w:val="clear"/>
        </w:rPr>
        <w:t>юня</w:t>
      </w:r>
      <w:r>
        <w:rPr>
          <w:rFonts w:eastAsia="Times New Roman" w:cs="Times New Roman"/>
          <w:b/>
          <w:bCs/>
          <w:color w:val="00000A"/>
          <w:spacing w:val="0"/>
          <w:sz w:val="28"/>
          <w:szCs w:val="28"/>
        </w:rPr>
        <w:t xml:space="preserve"> 2023 года в 08:00.</w:t>
      </w:r>
    </w:p>
    <w:p>
      <w:pPr>
        <w:pStyle w:val="Normal"/>
        <w:ind w:left="0" w:firstLine="680"/>
        <w:jc w:val="both"/>
        <w:rPr/>
      </w:pPr>
      <w:r>
        <w:rPr>
          <w:b/>
        </w:rPr>
        <w:t>Место проведения продажи без объявления цены:</w:t>
      </w:r>
      <w:r>
        <w:rPr/>
        <w:t xml:space="preserve"> электронная площадка - УТП АО «Сбербанк – АСТ» на сайте </w:t>
      </w:r>
      <w:hyperlink r:id="rId6">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(торговая секция «Приватизация, аренда и продажа прав»).</w:t>
      </w:r>
    </w:p>
    <w:p>
      <w:pPr>
        <w:pStyle w:val="Normal"/>
        <w:ind w:left="0" w:firstLine="680"/>
        <w:jc w:val="both"/>
        <w:rPr>
          <w:color w:val="000000"/>
        </w:rPr>
      </w:pPr>
      <w:r>
        <w:rPr>
          <w:b/>
          <w:color w:val="000000"/>
        </w:rPr>
        <w:t>Правила проведения продажи без объявления цены:</w:t>
      </w:r>
      <w:r>
        <w:rPr>
          <w:color w:val="000000"/>
        </w:rPr>
        <w:t xml:space="preserve"> </w:t>
      </w:r>
      <w:r>
        <w:rPr>
          <w:rFonts w:ascii="Arial" w:hAnsi="Arial"/>
          <w:b w:val="false"/>
          <w:i w:val="false"/>
          <w:strike w:val="false"/>
          <w:dstrike w:val="false"/>
          <w:color w:val="000000"/>
          <w:sz w:val="20"/>
          <w:u w:val="none"/>
        </w:rPr>
        <w:t xml:space="preserve"> </w:t>
      </w:r>
    </w:p>
    <w:p>
      <w:pPr>
        <w:pStyle w:val="Normal"/>
        <w:widowControl/>
        <w:numPr>
          <w:ilvl w:val="0"/>
          <w:numId w:val="0"/>
        </w:numPr>
        <w:ind w:left="0" w:firstLine="680"/>
        <w:jc w:val="both"/>
        <w:outlineLvl w:val="1"/>
        <w:rPr>
          <w:color w:val="000000"/>
        </w:rPr>
      </w:pPr>
      <w:r>
        <w:rPr>
          <w:color w:val="000000"/>
        </w:rPr>
        <w:t>В день подведения итогов продажи муниципального имущества без объявления цены оператор электронной площадки через «личный кабинет» продавца обеспечивает доступ продавца к поданным претендентами документам, а также к журналу приема заявок.</w:t>
      </w:r>
    </w:p>
    <w:p>
      <w:pPr>
        <w:pStyle w:val="Normal"/>
        <w:widowControl/>
        <w:numPr>
          <w:ilvl w:val="0"/>
          <w:numId w:val="0"/>
        </w:numPr>
        <w:ind w:left="0" w:firstLine="680"/>
        <w:jc w:val="both"/>
        <w:outlineLvl w:val="1"/>
        <w:rPr>
          <w:color w:val="CE181E"/>
        </w:rPr>
      </w:pPr>
      <w:r>
        <w:rPr>
          <w:b w:val="false"/>
          <w:i w:val="false"/>
          <w:strike w:val="false"/>
          <w:dstrike w:val="false"/>
          <w:color w:val="000000"/>
          <w:sz w:val="28"/>
          <w:szCs w:val="28"/>
          <w:u w:val="none"/>
        </w:rPr>
        <w:t>В закрытой части электронной площадки размещаются имена (наименования) участников и поданные ими предложения о цене имущества.</w:t>
      </w:r>
    </w:p>
    <w:p>
      <w:pPr>
        <w:pStyle w:val="Normal"/>
        <w:widowControl/>
        <w:numPr>
          <w:ilvl w:val="0"/>
          <w:numId w:val="0"/>
        </w:numPr>
        <w:ind w:left="0" w:firstLine="680"/>
        <w:jc w:val="both"/>
        <w:outlineLvl w:val="1"/>
        <w:rPr/>
      </w:pPr>
      <w:r>
        <w:rPr>
          <w:b/>
          <w:color w:val="000000"/>
        </w:rPr>
        <w:t>Срок заключения договора купли-продажи:</w:t>
      </w:r>
      <w:r>
        <w:rPr>
          <w:color w:val="000000"/>
        </w:rPr>
        <w:t xml:space="preserve"> Договор купли-продажи имущества заключается в течение 5 рабочих дней со дня подведения итогов продажи имущества без объявления цены.</w:t>
      </w:r>
    </w:p>
    <w:p>
      <w:pPr>
        <w:pStyle w:val="Normal"/>
        <w:widowControl/>
        <w:numPr>
          <w:ilvl w:val="0"/>
          <w:numId w:val="0"/>
        </w:numPr>
        <w:ind w:left="0" w:firstLine="680"/>
        <w:jc w:val="both"/>
        <w:outlineLvl w:val="1"/>
        <w:rPr>
          <w:color w:val="000000"/>
        </w:rPr>
      </w:pPr>
      <w:r>
        <w:rPr>
          <w:color w:val="000000"/>
        </w:rPr>
        <w:t>При уклонении покупателя от заключения договора купли — продажи имущества в установленный срок покупатель утрачивает право на заключение такого договора. В этом случае продажа имущества без объявления цены признается несостоявшейся.</w:t>
      </w:r>
    </w:p>
    <w:p>
      <w:pPr>
        <w:pStyle w:val="Normal"/>
        <w:ind w:left="0" w:firstLine="680"/>
        <w:jc w:val="both"/>
        <w:rPr/>
      </w:pPr>
      <w:r>
        <w:rPr>
          <w:b/>
        </w:rPr>
        <w:t>Порядок ознакомления покупателей с иной информацией, условиями договора купли-продажи:</w:t>
      </w:r>
      <w:r>
        <w:rPr>
          <w:color w:val="000000"/>
          <w:sz w:val="28"/>
          <w:szCs w:val="28"/>
        </w:rPr>
        <w:t xml:space="preserve"> желающие приобрести муниципальное имущество могут ознакомиться с проектом договора купли-продажи (Приложение №3) и получить иную информацию на официальном сайте Российской Федерации для размещения информации о проведении торгов </w:t>
      </w:r>
      <w:r>
        <w:rPr>
          <w:rStyle w:val="Style15"/>
          <w:color w:val="000000"/>
          <w:sz w:val="28"/>
          <w:szCs w:val="28"/>
          <w:u w:val="none"/>
        </w:rPr>
        <w:t>https://torgi.gov.ru/new/</w:t>
      </w:r>
      <w:r>
        <w:rPr>
          <w:color w:val="000000"/>
          <w:sz w:val="28"/>
          <w:szCs w:val="28"/>
        </w:rPr>
        <w:t>, на о</w:t>
      </w:r>
      <w:r>
        <w:rPr>
          <w:b w:val="false"/>
          <w:i w:val="false"/>
          <w:caps w:val="false"/>
          <w:smallCaps w:val="false"/>
          <w:color w:val="000000"/>
          <w:spacing w:val="0"/>
          <w:sz w:val="28"/>
          <w:szCs w:val="28"/>
        </w:rPr>
        <w:t xml:space="preserve">фициальным сайте органов местного самоуправления муниципального района «Ровеньский район» Белгородской области </w:t>
      </w:r>
      <w:r>
        <w:rPr>
          <w:rStyle w:val="Style15"/>
          <w:color w:val="000000"/>
          <w:sz w:val="28"/>
          <w:szCs w:val="28"/>
          <w:u w:val="none"/>
        </w:rPr>
        <w:t>https://rovenki-r31.gosweb.gosuslugi.ru/</w:t>
      </w:r>
      <w:r>
        <w:rPr>
          <w:color w:val="000000"/>
          <w:sz w:val="28"/>
          <w:szCs w:val="28"/>
        </w:rPr>
        <w:t xml:space="preserve"> и на электронной площадке - УТП АО «Сбербанк – АСТ»  на сайте </w:t>
      </w:r>
      <w:hyperlink r:id="rId7">
        <w:r>
          <w:rPr>
            <w:rStyle w:val="Style15"/>
            <w:color w:val="000000"/>
            <w:sz w:val="28"/>
            <w:szCs w:val="28"/>
            <w:u w:val="none"/>
          </w:rPr>
          <w:t>http://</w:t>
        </w:r>
        <w:r>
          <w:rPr>
            <w:rStyle w:val="Style15"/>
            <w:color w:val="000000"/>
            <w:sz w:val="28"/>
            <w:szCs w:val="28"/>
            <w:u w:val="none"/>
            <w:lang w:val="en-US"/>
          </w:rPr>
          <w:t>utp</w:t>
        </w:r>
        <w:r>
          <w:rPr>
            <w:rStyle w:val="Style15"/>
            <w:color w:val="000000"/>
            <w:sz w:val="28"/>
            <w:szCs w:val="28"/>
            <w:u w:val="none"/>
          </w:rPr>
          <w:t>.sberbank-ast.ru</w:t>
        </w:r>
      </w:hyperlink>
      <w:r>
        <w:rPr>
          <w:color w:val="000000"/>
          <w:sz w:val="28"/>
          <w:szCs w:val="28"/>
        </w:rPr>
        <w:t xml:space="preserve"> в сети «Интернет». </w:t>
      </w:r>
    </w:p>
    <w:p>
      <w:pPr>
        <w:pStyle w:val="Normal"/>
        <w:numPr>
          <w:ilvl w:val="0"/>
          <w:numId w:val="0"/>
        </w:numPr>
        <w:ind w:left="0" w:firstLine="680"/>
        <w:jc w:val="both"/>
        <w:outlineLvl w:val="1"/>
        <w:rPr/>
      </w:pPr>
      <w:r>
        <w:rPr/>
        <w:t xml:space="preserve">Любое лицо независимо от регистрации на электронной площадке вправе направить на электронный адрес оператора торговой площадки АО «Сбербанк – АСТ» запрос о разъяснении размещаемой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w:t>
      </w:r>
      <w:r>
        <w:rPr>
          <w:color w:val="000000"/>
        </w:rPr>
        <w:t>позднее 29 мая 2023 года.</w:t>
      </w:r>
    </w:p>
    <w:p>
      <w:pPr>
        <w:pStyle w:val="Normal"/>
        <w:numPr>
          <w:ilvl w:val="0"/>
          <w:numId w:val="0"/>
        </w:numPr>
        <w:ind w:left="0" w:firstLine="680"/>
        <w:jc w:val="both"/>
        <w:outlineLvl w:val="1"/>
        <w:rPr/>
      </w:pPr>
      <w:r>
        <w:rPr>
          <w:i w:val="false"/>
          <w:iCs w:val="false"/>
          <w:color w:val="000000"/>
        </w:rPr>
        <w:t>В течении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pPr>
        <w:pStyle w:val="Normal"/>
        <w:numPr>
          <w:ilvl w:val="0"/>
          <w:numId w:val="0"/>
        </w:numPr>
        <w:ind w:left="0" w:firstLine="680"/>
        <w:jc w:val="both"/>
        <w:outlineLvl w:val="1"/>
        <w:rPr/>
      </w:pPr>
      <w:r>
        <w:rPr>
          <w:b w:val="false"/>
          <w:bCs w:val="false"/>
          <w:i w:val="false"/>
          <w:iCs w:val="false"/>
          <w:color w:val="000000"/>
        </w:rPr>
        <w:t>Любое заинтересованное лицо независимо от регистрации на электронной площадке со дня начала приема заявок вправе осмотреть выставленное на продажу имущество. Показ обеспечивает администрация Ровеньского района в следующие даты: 12 мая 2023 года, 19 мая 2023 года, 26 мая 2023 года.  Для</w:t>
      </w:r>
      <w:bookmarkStart w:id="5" w:name="_GoBack"/>
      <w:bookmarkEnd w:id="5"/>
      <w:r>
        <w:rPr>
          <w:b w:val="false"/>
          <w:bCs w:val="false"/>
          <w:i w:val="false"/>
          <w:iCs w:val="false"/>
          <w:color w:val="000000"/>
        </w:rPr>
        <w:t xml:space="preserve"> осмотра объектов имущества, с учетом установленных сроков, лицо желающее осмотреть их, направляет на электронный адрес продавца </w:t>
      </w:r>
      <w:r>
        <w:rPr>
          <w:rStyle w:val="Style15"/>
          <w:b w:val="false"/>
          <w:bCs w:val="false"/>
          <w:i w:val="false"/>
          <w:iCs w:val="false"/>
          <w:color w:val="000000"/>
          <w:u w:val="none"/>
        </w:rPr>
        <w:t>goncharova_yv@ro.belregion.ru</w:t>
      </w:r>
      <w:r>
        <w:rPr>
          <w:b w:val="false"/>
          <w:bCs w:val="false"/>
          <w:i w:val="false"/>
          <w:iCs w:val="false"/>
          <w:color w:val="000000"/>
        </w:rPr>
        <w:t xml:space="preserve"> запрос по форме (Приложение №4).</w:t>
      </w:r>
    </w:p>
    <w:p>
      <w:pPr>
        <w:pStyle w:val="Normal"/>
        <w:ind w:left="0" w:firstLine="680"/>
        <w:jc w:val="both"/>
        <w:rPr>
          <w:highlight w:val="yellow"/>
        </w:rPr>
      </w:pPr>
      <w:r>
        <w:rPr>
          <w:b w:val="false"/>
          <w:bCs w:val="false"/>
          <w:i w:val="false"/>
          <w:iCs w:val="false"/>
          <w:color w:val="000000"/>
        </w:rPr>
        <w:t>По истечении 2 рабочих дней с момента поступления запроса продавец оформляет «смотровое письмо» и направляет его на электронный адрес заявителя, указанный в запросе.</w:t>
      </w:r>
    </w:p>
    <w:p>
      <w:pPr>
        <w:pStyle w:val="Normal"/>
        <w:ind w:left="0" w:firstLine="680"/>
        <w:jc w:val="both"/>
        <w:rPr>
          <w:highlight w:val="yellow"/>
        </w:rPr>
      </w:pPr>
      <w:r>
        <w:rPr>
          <w:b/>
        </w:rPr>
        <w:t xml:space="preserve">Ограничения участия отдельных категорий физических лиц и юридических лиц в приватизации муниципального имущества: </w:t>
      </w:r>
      <w:r>
        <w:rPr/>
        <w:t xml:space="preserve">к участию </w:t>
      </w:r>
      <w:r>
        <w:rPr>
          <w:color w:val="000000"/>
        </w:rPr>
        <w:t xml:space="preserve">в </w:t>
      </w:r>
      <w:r>
        <w:rPr/>
        <w:t xml:space="preserve"> продаже муниципального имущества допускаются любые физические и юридические лица, за исключением: </w:t>
      </w:r>
    </w:p>
    <w:p>
      <w:pPr>
        <w:pStyle w:val="Normal"/>
        <w:ind w:left="0" w:firstLine="680"/>
        <w:jc w:val="both"/>
        <w:rPr>
          <w:highlight w:val="yellow"/>
        </w:rPr>
      </w:pPr>
      <w:r>
        <w:rPr/>
        <w:t>- государственных и муниципальных унитарных предприятий, государственных и муниципальных учреждений;</w:t>
      </w:r>
    </w:p>
    <w:p>
      <w:pPr>
        <w:pStyle w:val="Normal"/>
        <w:ind w:left="0" w:firstLine="680"/>
        <w:jc w:val="both"/>
        <w:rPr>
          <w:highlight w:val="yellow"/>
        </w:rPr>
      </w:pPr>
      <w:r>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№178-ФЗ «О приватизации государственного и муниципального имущества»;</w:t>
      </w:r>
    </w:p>
    <w:p>
      <w:pPr>
        <w:pStyle w:val="Normal"/>
        <w:widowControl/>
        <w:ind w:left="0" w:firstLine="540"/>
        <w:jc w:val="both"/>
        <w:rPr/>
      </w:pPr>
      <w:r>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8">
        <w:r>
          <w:rPr>
            <w:rStyle w:val="ListLabel3"/>
          </w:rPr>
          <w:t>перечень</w:t>
        </w:r>
      </w:hyperlink>
      <w:r>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Pr>
          <w:rFonts w:eastAsia="Courier New" w:ascii="Arial" w:hAnsi="Arial"/>
          <w:color w:val="000000"/>
          <w:kern w:val="2"/>
          <w:sz w:val="16"/>
          <w:lang w:eastAsia="hi-IN"/>
        </w:rPr>
        <w:t xml:space="preserve"> </w:t>
      </w:r>
      <w:bookmarkStart w:id="6" w:name="__DdeLink__251381_342650874"/>
      <w:r>
        <w:rPr>
          <w:rFonts w:eastAsia="Courier New"/>
          <w:color w:val="000000"/>
          <w:kern w:val="2"/>
          <w:lang w:eastAsia="hi-IN"/>
        </w:rPr>
        <w:t>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bookmarkEnd w:id="6"/>
    </w:p>
    <w:p>
      <w:pPr>
        <w:pStyle w:val="Normal"/>
        <w:widowControl/>
        <w:numPr>
          <w:ilvl w:val="0"/>
          <w:numId w:val="0"/>
        </w:numPr>
        <w:ind w:left="0" w:firstLine="680"/>
        <w:jc w:val="both"/>
        <w:outlineLvl w:val="1"/>
        <w:rPr/>
      </w:pPr>
      <w:r>
        <w:rPr>
          <w:b/>
        </w:rPr>
        <w:t>Порядок определения победителей:</w:t>
      </w:r>
      <w:r>
        <w:rPr/>
        <w:t xml:space="preserve"> </w:t>
      </w:r>
    </w:p>
    <w:p>
      <w:pPr>
        <w:pStyle w:val="Normal"/>
        <w:widowControl/>
        <w:numPr>
          <w:ilvl w:val="0"/>
          <w:numId w:val="0"/>
        </w:numPr>
        <w:ind w:left="0" w:firstLine="680"/>
        <w:jc w:val="both"/>
        <w:outlineLvl w:val="1"/>
        <w:rPr>
          <w:color w:val="21409A"/>
          <w:lang w:val="ru-RU"/>
        </w:rPr>
      </w:pPr>
      <w:r>
        <w:rPr>
          <w:color w:val="000000"/>
          <w:lang w:val="ru-RU"/>
        </w:rPr>
        <w:t>По результатам рассмотрения заявок и прилагаемым к ним документов продавец принимает по каждой зарегистрированной заявке отдельное решение о рассмотрении предложения о цене имущества. Указанное решение оформляется протоколом об итогах продажи без объявления цены.</w:t>
      </w:r>
    </w:p>
    <w:p>
      <w:pPr>
        <w:pStyle w:val="Normal"/>
        <w:widowControl/>
        <w:numPr>
          <w:ilvl w:val="0"/>
          <w:numId w:val="0"/>
        </w:numPr>
        <w:ind w:left="0" w:firstLine="680"/>
        <w:jc w:val="both"/>
        <w:outlineLvl w:val="1"/>
        <w:rPr>
          <w:color w:val="21409A"/>
        </w:rPr>
      </w:pPr>
      <w:r>
        <w:rPr>
          <w:color w:val="000000"/>
        </w:rPr>
        <w:t>Покупателем имущества признается:</w:t>
      </w:r>
    </w:p>
    <w:p>
      <w:pPr>
        <w:pStyle w:val="Normal"/>
        <w:widowControl/>
        <w:numPr>
          <w:ilvl w:val="0"/>
          <w:numId w:val="0"/>
        </w:numPr>
        <w:ind w:left="0" w:firstLine="680"/>
        <w:jc w:val="both"/>
        <w:outlineLvl w:val="1"/>
        <w:rPr>
          <w:color w:val="21409A"/>
        </w:rPr>
      </w:pPr>
      <w:r>
        <w:rPr>
          <w:color w:val="000000"/>
        </w:rPr>
        <w:t>- в случае регистрации одной заявки и предложения о цене имущества — участник, представивший это предложение;</w:t>
      </w:r>
    </w:p>
    <w:p>
      <w:pPr>
        <w:pStyle w:val="Normal"/>
        <w:widowControl/>
        <w:numPr>
          <w:ilvl w:val="0"/>
          <w:numId w:val="0"/>
        </w:numPr>
        <w:ind w:left="0" w:firstLine="680"/>
        <w:jc w:val="both"/>
        <w:outlineLvl w:val="1"/>
        <w:rPr/>
      </w:pPr>
      <w:r>
        <w:rPr>
          <w:color w:val="000000"/>
        </w:rPr>
        <w:t>- в случае регистрации нескольких заявок и предложений о цене имущества  -  участник, предложивший наибольшую цену за продаваемое имущество;</w:t>
      </w:r>
    </w:p>
    <w:p>
      <w:pPr>
        <w:pStyle w:val="Normal"/>
        <w:widowControl/>
        <w:numPr>
          <w:ilvl w:val="0"/>
          <w:numId w:val="0"/>
        </w:numPr>
        <w:ind w:left="0" w:firstLine="680"/>
        <w:jc w:val="both"/>
        <w:outlineLvl w:val="1"/>
        <w:rPr>
          <w:color w:val="21409A"/>
        </w:rPr>
      </w:pPr>
      <w:r>
        <w:rPr>
          <w:color w:val="000000"/>
        </w:rPr>
        <w:t>- в случае если несколько участников предложили одинаковую наибольшую цену за продаваемое имущество - участник, заявка которого была подана на электронную площадку ранее других.</w:t>
      </w:r>
    </w:p>
    <w:p>
      <w:pPr>
        <w:pStyle w:val="ConsPlusNormal"/>
        <w:widowControl w:val="false"/>
        <w:bidi w:val="0"/>
        <w:ind w:left="57" w:right="0" w:firstLine="567"/>
        <w:jc w:val="both"/>
        <w:rPr>
          <w:color w:val="000000"/>
        </w:rPr>
      </w:pPr>
      <w:r>
        <w:rPr>
          <w:rFonts w:cs="Times New Roman" w:ascii="Times New Roman" w:hAnsi="Times New Roman"/>
          <w:b/>
          <w:color w:val="000000"/>
          <w:sz w:val="28"/>
          <w:szCs w:val="28"/>
        </w:rPr>
        <w:t>Подведение итогов аукциона:</w:t>
      </w:r>
      <w:r>
        <w:rPr>
          <w:rFonts w:cs="Times New Roman" w:ascii="Times New Roman" w:hAnsi="Times New Roman"/>
          <w:color w:val="000000"/>
          <w:sz w:val="28"/>
          <w:szCs w:val="28"/>
        </w:rPr>
        <w:t xml:space="preserve"> </w:t>
      </w:r>
      <w:r>
        <w:rPr>
          <w:rFonts w:cs="Times New Roman" w:ascii="Times New Roman" w:hAnsi="Times New Roman"/>
          <w:b w:val="false"/>
          <w:i w:val="false"/>
          <w:strike w:val="false"/>
          <w:dstrike w:val="false"/>
          <w:color w:val="000000"/>
          <w:sz w:val="28"/>
          <w:szCs w:val="28"/>
          <w:u w:val="none"/>
        </w:rPr>
        <w:t>Процедура продажи считается завершенной со времени подписания продавцом протокола об итогах продажи имущества без объявления цены.</w:t>
      </w:r>
    </w:p>
    <w:p>
      <w:pPr>
        <w:pStyle w:val="Normal"/>
        <w:tabs>
          <w:tab w:val="left" w:pos="4500" w:leader="none"/>
        </w:tabs>
        <w:ind w:left="0" w:firstLine="680"/>
        <w:jc w:val="both"/>
        <w:rPr>
          <w:highlight w:val="yellow"/>
        </w:rPr>
      </w:pPr>
      <w:bookmarkStart w:id="7" w:name="__DdeLink__382_1567635490"/>
      <w:r>
        <w:rPr>
          <w:color w:val="000000"/>
        </w:rPr>
        <w:t xml:space="preserve">Место подведения итогов: </w:t>
      </w:r>
      <w:bookmarkStart w:id="8" w:name="__DdeLink__242_3759699311"/>
      <w:r>
        <w:rPr>
          <w:color w:val="000000"/>
        </w:rPr>
        <w:t>Белгородская область, Ровеньский район, поселок Ровеньки, улица Ленина, дом 50</w:t>
      </w:r>
      <w:bookmarkEnd w:id="8"/>
      <w:r>
        <w:rPr>
          <w:color w:val="000000"/>
        </w:rPr>
        <w:t xml:space="preserve">. </w:t>
      </w:r>
      <w:bookmarkEnd w:id="7"/>
    </w:p>
    <w:p>
      <w:pPr>
        <w:pStyle w:val="Normal"/>
        <w:tabs>
          <w:tab w:val="left" w:pos="4500" w:leader="none"/>
        </w:tabs>
        <w:ind w:left="0" w:firstLine="680"/>
        <w:jc w:val="both"/>
        <w:rPr/>
      </w:pPr>
      <w:r>
        <w:rPr>
          <w:b/>
        </w:rPr>
        <w:t>Сведения обо всех предыдущих торгах по продаже муниципального имущества, объявленных в течение года, предшествующего его продаже, и об итогах торгов по продаже такого имущества</w:t>
      </w:r>
      <w:r>
        <w:rPr/>
        <w:t>:</w:t>
      </w:r>
      <w:r>
        <w:rPr>
          <w:i/>
          <w:iCs/>
          <w:color w:val="7477B8"/>
        </w:rPr>
        <w:t xml:space="preserve"> </w:t>
      </w:r>
      <w:r>
        <w:rPr>
          <w:i w:val="false"/>
          <w:iCs w:val="false"/>
          <w:color w:val="000000"/>
        </w:rPr>
        <w:t>в предшествующем году муниципальное имущество выставлялось:</w:t>
      </w:r>
    </w:p>
    <w:p>
      <w:pPr>
        <w:pStyle w:val="Normal"/>
        <w:ind w:hanging="0"/>
        <w:jc w:val="both"/>
        <w:rPr/>
      </w:pPr>
      <w:r>
        <w:rPr>
          <w:i w:val="false"/>
          <w:iCs w:val="false"/>
          <w:color w:val="000000"/>
        </w:rPr>
        <w:tab/>
        <w:t>в 2020 году продажа на аукционе, продажа не состоялась в связи с отсутствием поданных заявок;</w:t>
      </w:r>
    </w:p>
    <w:p>
      <w:pPr>
        <w:pStyle w:val="Normal"/>
        <w:ind w:hanging="0"/>
        <w:jc w:val="both"/>
        <w:rPr/>
      </w:pPr>
      <w:r>
        <w:rPr>
          <w:i w:val="false"/>
          <w:iCs w:val="false"/>
          <w:color w:val="000000"/>
        </w:rPr>
        <w:tab/>
        <w:t>в 2020 году продажа муниципального имущества посредством публичного предложения в порядке приватизации, которая не состоялась, в связи с отсутствием поданных заявок;</w:t>
      </w:r>
    </w:p>
    <w:p>
      <w:pPr>
        <w:pStyle w:val="Normal"/>
        <w:ind w:hanging="0"/>
        <w:jc w:val="both"/>
        <w:rPr/>
      </w:pPr>
      <w:r>
        <w:rPr>
          <w:i w:val="false"/>
          <w:iCs w:val="false"/>
          <w:color w:val="000000"/>
        </w:rPr>
        <w:tab/>
        <w:t>в 2021 году продажа муниципального имущества без объявления цены, продажа не состоялась в связи с уклонением покупателя от заключения договора купли-продажи в установленный срок;</w:t>
      </w:r>
    </w:p>
    <w:p>
      <w:pPr>
        <w:pStyle w:val="Normal"/>
        <w:ind w:hanging="0"/>
        <w:jc w:val="both"/>
        <w:rPr/>
      </w:pPr>
      <w:r>
        <w:rPr>
          <w:i w:val="false"/>
          <w:iCs w:val="false"/>
          <w:color w:val="000000"/>
        </w:rPr>
        <w:tab/>
        <w:t>в 2023 году продажа на аукционе, продажа не состоялась в связи с отсутствием поданных заявок.</w:t>
      </w:r>
    </w:p>
    <w:p>
      <w:pPr>
        <w:pStyle w:val="Normal"/>
        <w:ind w:hanging="0"/>
        <w:jc w:val="both"/>
        <w:rPr/>
      </w:pPr>
      <w:r>
        <w:rPr>
          <w:i w:val="false"/>
          <w:iCs w:val="false"/>
          <w:color w:val="000000"/>
        </w:rPr>
        <w:tab/>
        <w:t>в 2023 году продажа муниципального имущества посредством публичного предложения в порядке приватизации, продажа не состоялась, в связи с тем, что принял участие только один участник.</w:t>
      </w:r>
    </w:p>
    <w:p>
      <w:pPr>
        <w:pStyle w:val="Normal"/>
        <w:rPr>
          <w:i/>
          <w:i/>
          <w:iCs/>
          <w:color w:val="000000"/>
        </w:rPr>
      </w:pPr>
      <w:r>
        <w:rPr>
          <w:i/>
          <w:iCs/>
          <w:color w:val="000000"/>
        </w:rPr>
      </w:r>
    </w:p>
    <w:p>
      <w:pPr>
        <w:pStyle w:val="Normal"/>
        <w:rPr>
          <w:i/>
          <w:i/>
          <w:iCs/>
          <w:color w:val="7477B8"/>
        </w:rPr>
      </w:pPr>
      <w:r>
        <w:rPr>
          <w:i/>
          <w:iCs/>
          <w:color w:val="7477B8"/>
        </w:rPr>
      </w:r>
    </w:p>
    <w:p>
      <w:pPr>
        <w:pStyle w:val="Normal"/>
        <w:rPr/>
      </w:pPr>
      <w:r>
        <w:rPr/>
      </w:r>
    </w:p>
    <w:sectPr>
      <w:type w:val="nextPage"/>
      <w:pgSz w:w="11906" w:h="16838"/>
      <w:pgMar w:left="1417" w:right="567" w:header="0" w:top="850"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914c7"/>
    <w:pPr>
      <w:widowControl w:val="false"/>
      <w:bidi w:val="0"/>
      <w:ind w:left="680" w:hanging="680"/>
      <w:jc w:val="left"/>
    </w:pPr>
    <w:rPr>
      <w:rFonts w:ascii="Times New Roman" w:hAnsi="Times New Roman" w:eastAsia="Times New Roman" w:cs="Times New Roman"/>
      <w:color w:val="00000A"/>
      <w:kern w:val="0"/>
      <w:sz w:val="28"/>
      <w:szCs w:val="28"/>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qFormat/>
    <w:rsid w:val="005914c7"/>
    <w:rPr>
      <w:rFonts w:ascii="Times New Roman" w:hAnsi="Times New Roman" w:eastAsia="Times New Roman" w:cs="Times New Roman"/>
      <w:sz w:val="24"/>
      <w:szCs w:val="24"/>
      <w:lang w:eastAsia="ru-RU"/>
    </w:rPr>
  </w:style>
  <w:style w:type="character" w:styleId="Style15" w:customStyle="1">
    <w:name w:val="Интернет-ссылка"/>
    <w:basedOn w:val="DefaultParagraphFont"/>
    <w:rsid w:val="005914c7"/>
    <w:rPr>
      <w:color w:val="0000FF"/>
      <w:u w:val="single"/>
    </w:rPr>
  </w:style>
  <w:style w:type="character" w:styleId="ListLabel1" w:customStyle="1">
    <w:name w:val="ListLabel 1"/>
    <w:qFormat/>
    <w:rPr/>
  </w:style>
  <w:style w:type="character" w:styleId="ListLabel2" w:customStyle="1">
    <w:name w:val="ListLabel 2"/>
    <w:qFormat/>
    <w:rPr>
      <w:lang w:val="en-US"/>
    </w:rPr>
  </w:style>
  <w:style w:type="character" w:styleId="ListLabel3" w:customStyle="1">
    <w:name w:val="ListLabel 3"/>
    <w:qFormat/>
    <w:rPr/>
  </w:style>
  <w:style w:type="character" w:styleId="ListLabel4" w:customStyle="1">
    <w:name w:val="ListLabel 4"/>
    <w:qFormat/>
    <w:rPr>
      <w:rFonts w:eastAsia="Calibri"/>
      <w:lang w:eastAsia="en-US"/>
    </w:rPr>
  </w:style>
  <w:style w:type="character" w:styleId="ListLabel5" w:customStyle="1">
    <w:name w:val="ListLabel 5"/>
    <w:qFormat/>
    <w:rPr/>
  </w:style>
  <w:style w:type="character" w:styleId="ListLabel6" w:customStyle="1">
    <w:name w:val="ListLabel 6"/>
    <w:qFormat/>
    <w:rPr>
      <w:lang w:val="en-US"/>
    </w:rPr>
  </w:style>
  <w:style w:type="character" w:styleId="ListLabel7" w:customStyle="1">
    <w:name w:val="ListLabel 7"/>
    <w:qFormat/>
    <w:rPr/>
  </w:style>
  <w:style w:type="character" w:styleId="ListLabel8" w:customStyle="1">
    <w:name w:val="ListLabel 8"/>
    <w:qFormat/>
    <w:rPr>
      <w:rFonts w:eastAsia="Calibri"/>
      <w:lang w:eastAsia="en-US"/>
    </w:rPr>
  </w:style>
  <w:style w:type="character" w:styleId="ListLabel9" w:customStyle="1">
    <w:name w:val="ListLabel 9"/>
    <w:qFormat/>
    <w:rPr/>
  </w:style>
  <w:style w:type="character" w:styleId="ListLabel10" w:customStyle="1">
    <w:name w:val="ListLabel 10"/>
    <w:qFormat/>
    <w:rPr>
      <w:lang w:val="en-US"/>
    </w:rPr>
  </w:style>
  <w:style w:type="character" w:styleId="ListLabel11" w:customStyle="1">
    <w:name w:val="ListLabel 11"/>
    <w:qFormat/>
    <w:rPr/>
  </w:style>
  <w:style w:type="character" w:styleId="ListLabel12" w:customStyle="1">
    <w:name w:val="ListLabel 12"/>
    <w:qFormat/>
    <w:rPr>
      <w:rFonts w:eastAsia="Calibri"/>
      <w:lang w:eastAsia="en-US"/>
    </w:rPr>
  </w:style>
  <w:style w:type="character" w:styleId="ListLabel13" w:customStyle="1">
    <w:name w:val="ListLabel 13"/>
    <w:qFormat/>
    <w:rPr/>
  </w:style>
  <w:style w:type="character" w:styleId="ListLabel14" w:customStyle="1">
    <w:name w:val="ListLabel 14"/>
    <w:qFormat/>
    <w:rPr>
      <w:lang w:val="en-US"/>
    </w:rPr>
  </w:style>
  <w:style w:type="character" w:styleId="ListLabel15" w:customStyle="1">
    <w:name w:val="ListLabel 15"/>
    <w:qFormat/>
    <w:rPr/>
  </w:style>
  <w:style w:type="character" w:styleId="ListLabel16" w:customStyle="1">
    <w:name w:val="ListLabel 16"/>
    <w:qFormat/>
    <w:rPr>
      <w:rFonts w:eastAsia="Calibri"/>
      <w:lang w:eastAsia="en-US"/>
    </w:rPr>
  </w:style>
  <w:style w:type="character" w:styleId="ListLabel17" w:customStyle="1">
    <w:name w:val="ListLabel 17"/>
    <w:qFormat/>
    <w:rPr/>
  </w:style>
  <w:style w:type="character" w:styleId="ListLabel18" w:customStyle="1">
    <w:name w:val="ListLabel 18"/>
    <w:qFormat/>
    <w:rPr>
      <w:lang w:val="en-US"/>
    </w:rPr>
  </w:style>
  <w:style w:type="character" w:styleId="ListLabel19" w:customStyle="1">
    <w:name w:val="ListLabel 19"/>
    <w:qFormat/>
    <w:rPr/>
  </w:style>
  <w:style w:type="character" w:styleId="ListLabel20" w:customStyle="1">
    <w:name w:val="ListLabel 20"/>
    <w:qFormat/>
    <w:rPr>
      <w:rFonts w:eastAsia="Calibri"/>
      <w:lang w:eastAsia="en-US"/>
    </w:rPr>
  </w:style>
  <w:style w:type="character" w:styleId="ListLabel21" w:customStyle="1">
    <w:name w:val="ListLabel 21"/>
    <w:qFormat/>
    <w:rPr/>
  </w:style>
  <w:style w:type="character" w:styleId="ListLabel22" w:customStyle="1">
    <w:name w:val="ListLabel 22"/>
    <w:qFormat/>
    <w:rPr>
      <w:lang w:val="en-US"/>
    </w:rPr>
  </w:style>
  <w:style w:type="character" w:styleId="ListLabel23" w:customStyle="1">
    <w:name w:val="ListLabel 23"/>
    <w:qFormat/>
    <w:rPr/>
  </w:style>
  <w:style w:type="character" w:styleId="ListLabel24" w:customStyle="1">
    <w:name w:val="ListLabel 24"/>
    <w:qFormat/>
    <w:rPr>
      <w:rFonts w:eastAsia="Calibri"/>
      <w:lang w:eastAsia="en-US"/>
    </w:rPr>
  </w:style>
  <w:style w:type="character" w:styleId="ListLabel25" w:customStyle="1">
    <w:name w:val="ListLabel 25"/>
    <w:qFormat/>
    <w:rPr/>
  </w:style>
  <w:style w:type="character" w:styleId="ListLabel26" w:customStyle="1">
    <w:name w:val="ListLabel 26"/>
    <w:qFormat/>
    <w:rPr>
      <w:lang w:val="en-US"/>
    </w:rPr>
  </w:style>
  <w:style w:type="character" w:styleId="ListLabel27" w:customStyle="1">
    <w:name w:val="ListLabel 27"/>
    <w:qFormat/>
    <w:rPr/>
  </w:style>
  <w:style w:type="character" w:styleId="ListLabel28" w:customStyle="1">
    <w:name w:val="ListLabel 28"/>
    <w:qFormat/>
    <w:rPr>
      <w:rFonts w:eastAsia="Calibri"/>
      <w:lang w:eastAsia="en-US"/>
    </w:rPr>
  </w:style>
  <w:style w:type="character" w:styleId="ListLabel29" w:customStyle="1">
    <w:name w:val="ListLabel 29"/>
    <w:qFormat/>
    <w:rPr/>
  </w:style>
  <w:style w:type="character" w:styleId="ListLabel30" w:customStyle="1">
    <w:name w:val="ListLabel 30"/>
    <w:qFormat/>
    <w:rPr>
      <w:lang w:val="en-US"/>
    </w:rPr>
  </w:style>
  <w:style w:type="character" w:styleId="ListLabel31" w:customStyle="1">
    <w:name w:val="ListLabel 31"/>
    <w:qFormat/>
    <w:rPr/>
  </w:style>
  <w:style w:type="character" w:styleId="ListLabel32" w:customStyle="1">
    <w:name w:val="ListLabel 32"/>
    <w:qFormat/>
    <w:rPr>
      <w:rFonts w:eastAsia="Calibri"/>
      <w:lang w:eastAsia="en-US"/>
    </w:rPr>
  </w:style>
  <w:style w:type="character" w:styleId="ListLabel33" w:customStyle="1">
    <w:name w:val="ListLabel 33"/>
    <w:qFormat/>
    <w:rPr/>
  </w:style>
  <w:style w:type="character" w:styleId="ListLabel34" w:customStyle="1">
    <w:name w:val="ListLabel 34"/>
    <w:qFormat/>
    <w:rPr>
      <w:lang w:val="en-US"/>
    </w:rPr>
  </w:style>
  <w:style w:type="character" w:styleId="ListLabel35" w:customStyle="1">
    <w:name w:val="ListLabel 35"/>
    <w:qFormat/>
    <w:rPr/>
  </w:style>
  <w:style w:type="character" w:styleId="ListLabel36" w:customStyle="1">
    <w:name w:val="ListLabel 36"/>
    <w:qFormat/>
    <w:rPr>
      <w:rFonts w:eastAsia="Calibri"/>
      <w:lang w:eastAsia="en-US"/>
    </w:rPr>
  </w:style>
  <w:style w:type="character" w:styleId="ListLabel37" w:customStyle="1">
    <w:name w:val="ListLabel 37"/>
    <w:qFormat/>
    <w:rPr/>
  </w:style>
  <w:style w:type="character" w:styleId="ListLabel38" w:customStyle="1">
    <w:name w:val="ListLabel 38"/>
    <w:qFormat/>
    <w:rPr>
      <w:lang w:val="en-US"/>
    </w:rPr>
  </w:style>
  <w:style w:type="character" w:styleId="ListLabel39" w:customStyle="1">
    <w:name w:val="ListLabel 39"/>
    <w:qFormat/>
    <w:rPr/>
  </w:style>
  <w:style w:type="character" w:styleId="ListLabel40" w:customStyle="1">
    <w:name w:val="ListLabel 40"/>
    <w:qFormat/>
    <w:rPr>
      <w:rFonts w:eastAsia="Calibri"/>
      <w:lang w:eastAsia="en-US"/>
    </w:rPr>
  </w:style>
  <w:style w:type="character" w:styleId="ListLabel41" w:customStyle="1">
    <w:name w:val="ListLabel 41"/>
    <w:qFormat/>
    <w:rPr/>
  </w:style>
  <w:style w:type="character" w:styleId="ListLabel42" w:customStyle="1">
    <w:name w:val="ListLabel 42"/>
    <w:qFormat/>
    <w:rPr>
      <w:lang w:val="en-US"/>
    </w:rPr>
  </w:style>
  <w:style w:type="character" w:styleId="ListLabel43" w:customStyle="1">
    <w:name w:val="ListLabel 43"/>
    <w:qFormat/>
    <w:rPr/>
  </w:style>
  <w:style w:type="character" w:styleId="ListLabel44" w:customStyle="1">
    <w:name w:val="ListLabel 44"/>
    <w:qFormat/>
    <w:rPr>
      <w:rFonts w:eastAsia="Calibri"/>
      <w:lang w:eastAsia="en-US"/>
    </w:rPr>
  </w:style>
  <w:style w:type="character" w:styleId="ListLabel45" w:customStyle="1">
    <w:name w:val="ListLabel 45"/>
    <w:qFormat/>
    <w:rPr/>
  </w:style>
  <w:style w:type="character" w:styleId="ListLabel46" w:customStyle="1">
    <w:name w:val="ListLabel 46"/>
    <w:qFormat/>
    <w:rPr>
      <w:lang w:val="en-US"/>
    </w:rPr>
  </w:style>
  <w:style w:type="character" w:styleId="ListLabel47" w:customStyle="1">
    <w:name w:val="ListLabel 47"/>
    <w:qFormat/>
    <w:rPr/>
  </w:style>
  <w:style w:type="character" w:styleId="ListLabel48" w:customStyle="1">
    <w:name w:val="ListLabel 48"/>
    <w:qFormat/>
    <w:rPr>
      <w:rFonts w:eastAsia="Calibri"/>
      <w:lang w:eastAsia="en-US"/>
    </w:rPr>
  </w:style>
  <w:style w:type="character" w:styleId="ListLabel49" w:customStyle="1">
    <w:name w:val="ListLabel 49"/>
    <w:qFormat/>
    <w:rPr/>
  </w:style>
  <w:style w:type="character" w:styleId="ListLabel50" w:customStyle="1">
    <w:name w:val="ListLabel 50"/>
    <w:qFormat/>
    <w:rPr>
      <w:lang w:val="en-US"/>
    </w:rPr>
  </w:style>
  <w:style w:type="character" w:styleId="ListLabel51" w:customStyle="1">
    <w:name w:val="ListLabel 51"/>
    <w:qFormat/>
    <w:rPr/>
  </w:style>
  <w:style w:type="character" w:styleId="ListLabel52" w:customStyle="1">
    <w:name w:val="ListLabel 52"/>
    <w:qFormat/>
    <w:rPr>
      <w:rFonts w:eastAsia="Calibri"/>
      <w:lang w:eastAsia="en-US"/>
    </w:rPr>
  </w:style>
  <w:style w:type="character" w:styleId="ListLabel53" w:customStyle="1">
    <w:name w:val="ListLabel 53"/>
    <w:qFormat/>
    <w:rPr/>
  </w:style>
  <w:style w:type="character" w:styleId="ListLabel54" w:customStyle="1">
    <w:name w:val="ListLabel 54"/>
    <w:qFormat/>
    <w:rPr>
      <w:lang w:val="en-US"/>
    </w:rPr>
  </w:style>
  <w:style w:type="character" w:styleId="ListLabel55" w:customStyle="1">
    <w:name w:val="ListLabel 55"/>
    <w:qFormat/>
    <w:rPr/>
  </w:style>
  <w:style w:type="character" w:styleId="ListLabel56" w:customStyle="1">
    <w:name w:val="ListLabel 56"/>
    <w:qFormat/>
    <w:rPr>
      <w:rFonts w:eastAsia="Calibri"/>
      <w:lang w:eastAsia="en-US"/>
    </w:rPr>
  </w:style>
  <w:style w:type="character" w:styleId="ListLabel57" w:customStyle="1">
    <w:name w:val="ListLabel 57"/>
    <w:qFormat/>
    <w:rPr/>
  </w:style>
  <w:style w:type="character" w:styleId="ListLabel58" w:customStyle="1">
    <w:name w:val="ListLabel 58"/>
    <w:qFormat/>
    <w:rPr>
      <w:lang w:val="en-US"/>
    </w:rPr>
  </w:style>
  <w:style w:type="character" w:styleId="ListLabel59" w:customStyle="1">
    <w:name w:val="ListLabel 59"/>
    <w:qFormat/>
    <w:rPr/>
  </w:style>
  <w:style w:type="character" w:styleId="ListLabel60" w:customStyle="1">
    <w:name w:val="ListLabel 60"/>
    <w:qFormat/>
    <w:rPr>
      <w:rFonts w:eastAsia="Calibri"/>
      <w:lang w:eastAsia="en-US"/>
    </w:rPr>
  </w:style>
  <w:style w:type="character" w:styleId="ListLabel61" w:customStyle="1">
    <w:name w:val="ListLabel 61"/>
    <w:qFormat/>
    <w:rPr/>
  </w:style>
  <w:style w:type="character" w:styleId="ListLabel62" w:customStyle="1">
    <w:name w:val="ListLabel 62"/>
    <w:qFormat/>
    <w:rPr>
      <w:lang w:val="en-US"/>
    </w:rPr>
  </w:style>
  <w:style w:type="character" w:styleId="ListLabel63" w:customStyle="1">
    <w:name w:val="ListLabel 63"/>
    <w:qFormat/>
    <w:rPr/>
  </w:style>
  <w:style w:type="character" w:styleId="ListLabel64" w:customStyle="1">
    <w:name w:val="ListLabel 64"/>
    <w:qFormat/>
    <w:rPr>
      <w:rFonts w:eastAsia="Calibri"/>
      <w:lang w:eastAsia="en-US"/>
    </w:rPr>
  </w:style>
  <w:style w:type="character" w:styleId="ListLabel65" w:customStyle="1">
    <w:name w:val="ListLabel 65"/>
    <w:qFormat/>
    <w:rPr/>
  </w:style>
  <w:style w:type="character" w:styleId="ListLabel66" w:customStyle="1">
    <w:name w:val="ListLabel 66"/>
    <w:qFormat/>
    <w:rPr>
      <w:lang w:val="en-US"/>
    </w:rPr>
  </w:style>
  <w:style w:type="character" w:styleId="ListLabel67" w:customStyle="1">
    <w:name w:val="ListLabel 67"/>
    <w:qFormat/>
    <w:rPr/>
  </w:style>
  <w:style w:type="character" w:styleId="ListLabel68" w:customStyle="1">
    <w:name w:val="ListLabel 68"/>
    <w:qFormat/>
    <w:rPr>
      <w:rFonts w:eastAsia="Calibri"/>
      <w:lang w:eastAsia="en-US"/>
    </w:rPr>
  </w:style>
  <w:style w:type="character" w:styleId="ListLabel69" w:customStyle="1">
    <w:name w:val="ListLabel 69"/>
    <w:qFormat/>
    <w:rPr/>
  </w:style>
  <w:style w:type="character" w:styleId="ListLabel70" w:customStyle="1">
    <w:name w:val="ListLabel 70"/>
    <w:qFormat/>
    <w:rPr>
      <w:lang w:val="en-US"/>
    </w:rPr>
  </w:style>
  <w:style w:type="character" w:styleId="ListLabel71" w:customStyle="1">
    <w:name w:val="ListLabel 71"/>
    <w:qFormat/>
    <w:rPr/>
  </w:style>
  <w:style w:type="character" w:styleId="ListLabel72" w:customStyle="1">
    <w:name w:val="ListLabel 72"/>
    <w:qFormat/>
    <w:rPr>
      <w:rFonts w:eastAsia="Calibri"/>
      <w:lang w:eastAsia="en-US"/>
    </w:rPr>
  </w:style>
  <w:style w:type="character" w:styleId="ListLabel73" w:customStyle="1">
    <w:name w:val="ListLabel 73"/>
    <w:qFormat/>
    <w:rPr/>
  </w:style>
  <w:style w:type="character" w:styleId="ListLabel74" w:customStyle="1">
    <w:name w:val="ListLabel 74"/>
    <w:qFormat/>
    <w:rPr>
      <w:lang w:val="en-US"/>
    </w:rPr>
  </w:style>
  <w:style w:type="character" w:styleId="ListLabel75" w:customStyle="1">
    <w:name w:val="ListLabel 75"/>
    <w:qFormat/>
    <w:rPr/>
  </w:style>
  <w:style w:type="character" w:styleId="ListLabel76" w:customStyle="1">
    <w:name w:val="ListLabel 76"/>
    <w:qFormat/>
    <w:rPr>
      <w:rFonts w:eastAsia="Calibri"/>
      <w:lang w:eastAsia="en-US"/>
    </w:rPr>
  </w:style>
  <w:style w:type="character" w:styleId="ListLabel77" w:customStyle="1">
    <w:name w:val="ListLabel 77"/>
    <w:qFormat/>
    <w:rPr/>
  </w:style>
  <w:style w:type="character" w:styleId="ListLabel78" w:customStyle="1">
    <w:name w:val="ListLabel 78"/>
    <w:qFormat/>
    <w:rPr>
      <w:lang w:val="en-US"/>
    </w:rPr>
  </w:style>
  <w:style w:type="character" w:styleId="ListLabel79" w:customStyle="1">
    <w:name w:val="ListLabel 79"/>
    <w:qFormat/>
    <w:rPr/>
  </w:style>
  <w:style w:type="character" w:styleId="ListLabel80" w:customStyle="1">
    <w:name w:val="ListLabel 80"/>
    <w:qFormat/>
    <w:rPr>
      <w:rFonts w:eastAsia="Calibri"/>
      <w:lang w:eastAsia="en-US"/>
    </w:rPr>
  </w:style>
  <w:style w:type="character" w:styleId="ListLabel81">
    <w:name w:val="ListLabel 81"/>
    <w:qFormat/>
    <w:rPr/>
  </w:style>
  <w:style w:type="character" w:styleId="ListLabel82">
    <w:name w:val="ListLabel 82"/>
    <w:qFormat/>
    <w:rPr>
      <w:lang w:val="en-US"/>
    </w:rPr>
  </w:style>
  <w:style w:type="character" w:styleId="ListLabel83">
    <w:name w:val="ListLabel 83"/>
    <w:qFormat/>
    <w:rPr/>
  </w:style>
  <w:style w:type="character" w:styleId="ListLabel84">
    <w:name w:val="ListLabel 84"/>
    <w:qFormat/>
    <w:rPr/>
  </w:style>
  <w:style w:type="character" w:styleId="ListLabel85">
    <w:name w:val="ListLabel 85"/>
    <w:qFormat/>
    <w:rPr/>
  </w:style>
  <w:style w:type="character" w:styleId="ListLabel86">
    <w:name w:val="ListLabel 86"/>
    <w:qFormat/>
    <w:rPr>
      <w:lang w:val="en-US"/>
    </w:rPr>
  </w:style>
  <w:style w:type="character" w:styleId="ListLabel87">
    <w:name w:val="ListLabel 87"/>
    <w:qFormat/>
    <w:rPr/>
  </w:style>
  <w:style w:type="character" w:styleId="ListLabel88">
    <w:name w:val="ListLabel 88"/>
    <w:qFormat/>
    <w:rPr/>
  </w:style>
  <w:style w:type="character" w:styleId="ListLabel89">
    <w:name w:val="ListLabel 89"/>
    <w:qFormat/>
    <w:rPr/>
  </w:style>
  <w:style w:type="character" w:styleId="ListLabel90">
    <w:name w:val="ListLabel 90"/>
    <w:qFormat/>
    <w:rPr>
      <w:lang w:val="en-US"/>
    </w:rPr>
  </w:style>
  <w:style w:type="character" w:styleId="ListLabel91">
    <w:name w:val="ListLabel 91"/>
    <w:qFormat/>
    <w:rPr/>
  </w:style>
  <w:style w:type="character" w:styleId="ListLabel92">
    <w:name w:val="ListLabel 92"/>
    <w:qFormat/>
    <w:rPr/>
  </w:style>
  <w:style w:type="character" w:styleId="ListLabel93">
    <w:name w:val="ListLabel 93"/>
    <w:qFormat/>
    <w:rPr/>
  </w:style>
  <w:style w:type="character" w:styleId="ListLabel94">
    <w:name w:val="ListLabel 94"/>
    <w:qFormat/>
    <w:rPr>
      <w:lang w:val="en-US"/>
    </w:rPr>
  </w:style>
  <w:style w:type="character" w:styleId="ListLabel95">
    <w:name w:val="ListLabel 95"/>
    <w:qFormat/>
    <w:rPr/>
  </w:style>
  <w:style w:type="character" w:styleId="ListLabel96">
    <w:name w:val="ListLabel 96"/>
    <w:qFormat/>
    <w:rPr/>
  </w:style>
  <w:style w:type="character" w:styleId="Style16">
    <w:name w:val="Выделение жирным"/>
    <w:qFormat/>
    <w:rPr>
      <w:b/>
      <w:bCs/>
    </w:rPr>
  </w:style>
  <w:style w:type="character" w:styleId="ListLabel97">
    <w:name w:val="ListLabel 97"/>
    <w:qFormat/>
    <w:rPr/>
  </w:style>
  <w:style w:type="character" w:styleId="ListLabel98">
    <w:name w:val="ListLabel 98"/>
    <w:qFormat/>
    <w:rPr>
      <w:lang w:val="en-US"/>
    </w:rPr>
  </w:style>
  <w:style w:type="character" w:styleId="ListLabel99">
    <w:name w:val="ListLabel 99"/>
    <w:qFormat/>
    <w:rPr>
      <w:sz w:val="28"/>
      <w:szCs w:val="28"/>
      <w:highlight w:val="cyan"/>
    </w:rPr>
  </w:style>
  <w:style w:type="character" w:styleId="ListLabel100">
    <w:name w:val="ListLabel 100"/>
    <w:qFormat/>
    <w:rPr>
      <w:highlight w:val="yellow"/>
    </w:rPr>
  </w:style>
  <w:style w:type="character" w:styleId="ListLabel101">
    <w:name w:val="ListLabel 101"/>
    <w:qFormat/>
    <w:rPr>
      <w:highlight w:val="yellow"/>
      <w:lang w:val="en-US"/>
    </w:rPr>
  </w:style>
  <w:style w:type="character" w:styleId="ListLabel102">
    <w:name w:val="ListLabel 102"/>
    <w:qFormat/>
    <w:rPr>
      <w:highlight w:val="yellow"/>
    </w:rPr>
  </w:style>
  <w:style w:type="character" w:styleId="ListLabel103">
    <w:name w:val="ListLabel 103"/>
    <w:qFormat/>
    <w:rPr>
      <w:highlight w:val="yellow"/>
    </w:rPr>
  </w:style>
  <w:style w:type="character" w:styleId="ListLabel104">
    <w:name w:val="ListLabel 104"/>
    <w:qFormat/>
    <w:rPr/>
  </w:style>
  <w:style w:type="character" w:styleId="ListLabel105">
    <w:name w:val="ListLabel 105"/>
    <w:qFormat/>
    <w:rPr>
      <w:lang w:val="en-US"/>
    </w:rPr>
  </w:style>
  <w:style w:type="character" w:styleId="ListLabel106">
    <w:name w:val="ListLabel 106"/>
    <w:qFormat/>
    <w:rPr>
      <w:sz w:val="28"/>
      <w:szCs w:val="28"/>
    </w:rPr>
  </w:style>
  <w:style w:type="character" w:styleId="ListLabel107">
    <w:name w:val="ListLabel 107"/>
    <w:qFormat/>
    <w:rPr>
      <w:highlight w:val="yellow"/>
    </w:rPr>
  </w:style>
  <w:style w:type="character" w:styleId="ListLabel108">
    <w:name w:val="ListLabel 108"/>
    <w:qFormat/>
    <w:rPr>
      <w:highlight w:val="yellow"/>
      <w:lang w:val="en-US"/>
    </w:rPr>
  </w:style>
  <w:style w:type="character" w:styleId="ListLabel109">
    <w:name w:val="ListLabel 109"/>
    <w:qFormat/>
    <w:rPr/>
  </w:style>
  <w:style w:type="character" w:styleId="ListLabel110">
    <w:name w:val="ListLabel 110"/>
    <w:qFormat/>
    <w:rPr/>
  </w:style>
  <w:style w:type="character" w:styleId="ListLabel111">
    <w:name w:val="ListLabel 111"/>
    <w:qFormat/>
    <w:rPr>
      <w:highlight w:val="yellow"/>
    </w:rPr>
  </w:style>
  <w:style w:type="character" w:styleId="ListLabel112">
    <w:name w:val="ListLabel 112"/>
    <w:qFormat/>
    <w:rPr/>
  </w:style>
  <w:style w:type="character" w:styleId="ListLabel113">
    <w:name w:val="ListLabel 113"/>
    <w:qFormat/>
    <w:rPr>
      <w:lang w:val="en-US"/>
    </w:rPr>
  </w:style>
  <w:style w:type="character" w:styleId="ListLabel114">
    <w:name w:val="ListLabel 114"/>
    <w:qFormat/>
    <w:rPr>
      <w:sz w:val="28"/>
      <w:szCs w:val="28"/>
    </w:rPr>
  </w:style>
  <w:style w:type="character" w:styleId="ListLabel115">
    <w:name w:val="ListLabel 115"/>
    <w:qFormat/>
    <w:rPr>
      <w:highlight w:val="yellow"/>
    </w:rPr>
  </w:style>
  <w:style w:type="character" w:styleId="ListLabel116">
    <w:name w:val="ListLabel 116"/>
    <w:qFormat/>
    <w:rPr>
      <w:highlight w:val="yellow"/>
      <w:lang w:val="en-US"/>
    </w:rPr>
  </w:style>
  <w:style w:type="character" w:styleId="ListLabel117">
    <w:name w:val="ListLabel 117"/>
    <w:qFormat/>
    <w:rPr/>
  </w:style>
  <w:style w:type="character" w:styleId="ListLabel118">
    <w:name w:val="ListLabel 118"/>
    <w:qFormat/>
    <w:rPr/>
  </w:style>
  <w:style w:type="character" w:styleId="ListLabel119">
    <w:name w:val="ListLabel 119"/>
    <w:qFormat/>
    <w:rPr>
      <w:highlight w:val="yellow"/>
    </w:rPr>
  </w:style>
  <w:style w:type="character" w:styleId="ListLabel120">
    <w:name w:val="ListLabel 120"/>
    <w:qFormat/>
    <w:rPr>
      <w:color w:val="000000"/>
      <w:u w:val="none"/>
    </w:rPr>
  </w:style>
  <w:style w:type="character" w:styleId="ListLabel121">
    <w:name w:val="ListLabel 121"/>
    <w:qFormat/>
    <w:rPr>
      <w:color w:val="000000"/>
      <w:u w:val="none"/>
      <w:lang w:val="en-US"/>
    </w:rPr>
  </w:style>
  <w:style w:type="character" w:styleId="ListLabel122">
    <w:name w:val="ListLabel 122"/>
    <w:qFormat/>
    <w:rPr>
      <w:sz w:val="28"/>
      <w:szCs w:val="28"/>
    </w:rPr>
  </w:style>
  <w:style w:type="character" w:styleId="ListLabel123">
    <w:name w:val="ListLabel 123"/>
    <w:qFormat/>
    <w:rPr>
      <w:color w:val="000000"/>
      <w:highlight w:val="yellow"/>
      <w:u w:val="none"/>
    </w:rPr>
  </w:style>
  <w:style w:type="character" w:styleId="ListLabel124">
    <w:name w:val="ListLabel 124"/>
    <w:qFormat/>
    <w:rPr>
      <w:color w:val="000000"/>
      <w:highlight w:val="yellow"/>
      <w:u w:val="none"/>
      <w:lang w:val="en-US"/>
    </w:rPr>
  </w:style>
  <w:style w:type="character" w:styleId="ListLabel125">
    <w:name w:val="ListLabel 125"/>
    <w:qFormat/>
    <w:rPr/>
  </w:style>
  <w:style w:type="character" w:styleId="ListLabel126">
    <w:name w:val="ListLabel 126"/>
    <w:qFormat/>
    <w:rPr/>
  </w:style>
  <w:style w:type="character" w:styleId="ListLabel127">
    <w:name w:val="ListLabel 127"/>
    <w:qFormat/>
    <w:rPr>
      <w:rFonts w:ascii="Times New Roman" w:hAnsi="Times New Roman"/>
      <w:color w:val="000000"/>
      <w:sz w:val="28"/>
      <w:szCs w:val="28"/>
      <w:u w:val="none"/>
    </w:rPr>
  </w:style>
  <w:style w:type="character" w:styleId="ListLabel128">
    <w:name w:val="ListLabel 128"/>
    <w:qFormat/>
    <w:rPr>
      <w:rFonts w:ascii="Times New Roman" w:hAnsi="Times New Roman"/>
      <w:color w:val="000000"/>
      <w:sz w:val="28"/>
      <w:szCs w:val="28"/>
      <w:u w:val="none"/>
      <w:lang w:val="en-US"/>
    </w:rPr>
  </w:style>
  <w:style w:type="character" w:styleId="ListLabel129">
    <w:name w:val="ListLabel 129"/>
    <w:qFormat/>
    <w:rPr>
      <w:color w:val="000000"/>
      <w:u w:val="none"/>
    </w:rPr>
  </w:style>
  <w:style w:type="character" w:styleId="ListLabel130">
    <w:name w:val="ListLabel 130"/>
    <w:qFormat/>
    <w:rPr>
      <w:color w:val="000000"/>
      <w:u w:val="none"/>
      <w:lang w:val="en-US"/>
    </w:rPr>
  </w:style>
  <w:style w:type="character" w:styleId="ListLabel131">
    <w:name w:val="ListLabel 131"/>
    <w:qFormat/>
    <w:rPr>
      <w:sz w:val="28"/>
      <w:szCs w:val="28"/>
    </w:rPr>
  </w:style>
  <w:style w:type="character" w:styleId="ListLabel132">
    <w:name w:val="ListLabel 132"/>
    <w:qFormat/>
    <w:rPr>
      <w:color w:val="000000"/>
      <w:highlight w:val="yellow"/>
      <w:u w:val="none"/>
    </w:rPr>
  </w:style>
  <w:style w:type="character" w:styleId="ListLabel133">
    <w:name w:val="ListLabel 133"/>
    <w:qFormat/>
    <w:rPr>
      <w:color w:val="000000"/>
      <w:highlight w:val="yellow"/>
      <w:u w:val="none"/>
      <w:lang w:val="en-US"/>
    </w:rPr>
  </w:style>
  <w:style w:type="character" w:styleId="ListLabel134">
    <w:name w:val="ListLabel 134"/>
    <w:qFormat/>
    <w:rPr/>
  </w:style>
  <w:style w:type="character" w:styleId="ListLabel135">
    <w:name w:val="ListLabel 135"/>
    <w:qFormat/>
    <w:rPr/>
  </w:style>
  <w:style w:type="character" w:styleId="ListLabel136">
    <w:name w:val="ListLabel 136"/>
    <w:qFormat/>
    <w:rPr>
      <w:color w:val="000000"/>
      <w:sz w:val="28"/>
      <w:szCs w:val="28"/>
      <w:u w:val="none"/>
    </w:rPr>
  </w:style>
  <w:style w:type="character" w:styleId="ListLabel137">
    <w:name w:val="ListLabel 137"/>
    <w:qFormat/>
    <w:rPr>
      <w:color w:val="000000"/>
      <w:sz w:val="28"/>
      <w:szCs w:val="28"/>
      <w:u w:val="none"/>
      <w:lang w:val="en-US"/>
    </w:rPr>
  </w:style>
  <w:style w:type="character" w:styleId="ListLabel138">
    <w:name w:val="ListLabel 138"/>
    <w:qFormat/>
    <w:rPr>
      <w:color w:val="000000"/>
      <w:u w:val="none"/>
    </w:rPr>
  </w:style>
  <w:style w:type="character" w:styleId="ListLabel139">
    <w:name w:val="ListLabel 139"/>
    <w:qFormat/>
    <w:rPr>
      <w:color w:val="000000"/>
      <w:u w:val="none"/>
      <w:lang w:val="en-US"/>
    </w:rPr>
  </w:style>
  <w:style w:type="character" w:styleId="ListLabel140">
    <w:name w:val="ListLabel 140"/>
    <w:qFormat/>
    <w:rPr>
      <w:sz w:val="28"/>
      <w:szCs w:val="28"/>
    </w:rPr>
  </w:style>
  <w:style w:type="character" w:styleId="ListLabel141">
    <w:name w:val="ListLabel 141"/>
    <w:qFormat/>
    <w:rPr/>
  </w:style>
  <w:style w:type="character" w:styleId="ListLabel142">
    <w:name w:val="ListLabel 142"/>
    <w:qFormat/>
    <w:rPr/>
  </w:style>
  <w:style w:type="character" w:styleId="ListLabel143">
    <w:name w:val="ListLabel 143"/>
    <w:qFormat/>
    <w:rPr>
      <w:color w:val="000000"/>
      <w:sz w:val="28"/>
      <w:szCs w:val="28"/>
      <w:u w:val="none"/>
    </w:rPr>
  </w:style>
  <w:style w:type="character" w:styleId="ListLabel144">
    <w:name w:val="ListLabel 144"/>
    <w:qFormat/>
    <w:rPr>
      <w:color w:val="000000"/>
      <w:sz w:val="28"/>
      <w:szCs w:val="28"/>
      <w:u w:val="none"/>
      <w:lang w:val="en-US"/>
    </w:rPr>
  </w:style>
  <w:style w:type="character" w:styleId="ListLabel145">
    <w:name w:val="ListLabel 145"/>
    <w:qFormat/>
    <w:rPr>
      <w:color w:val="000000"/>
      <w:u w:val="none"/>
    </w:rPr>
  </w:style>
  <w:style w:type="character" w:styleId="ListLabel146">
    <w:name w:val="ListLabel 146"/>
    <w:qFormat/>
    <w:rPr>
      <w:color w:val="000000"/>
      <w:u w:val="none"/>
      <w:lang w:val="en-US"/>
    </w:rPr>
  </w:style>
  <w:style w:type="character" w:styleId="ListLabel147">
    <w:name w:val="ListLabel 147"/>
    <w:qFormat/>
    <w:rPr>
      <w:sz w:val="28"/>
      <w:szCs w:val="28"/>
    </w:rPr>
  </w:style>
  <w:style w:type="character" w:styleId="ListLabel148">
    <w:name w:val="ListLabel 148"/>
    <w:qFormat/>
    <w:rPr/>
  </w:style>
  <w:style w:type="character" w:styleId="ListLabel149">
    <w:name w:val="ListLabel 149"/>
    <w:qFormat/>
    <w:rPr/>
  </w:style>
  <w:style w:type="character" w:styleId="ListLabel150">
    <w:name w:val="ListLabel 150"/>
    <w:qFormat/>
    <w:rPr>
      <w:color w:val="000000"/>
      <w:sz w:val="28"/>
      <w:szCs w:val="28"/>
      <w:u w:val="none"/>
    </w:rPr>
  </w:style>
  <w:style w:type="character" w:styleId="ListLabel151">
    <w:name w:val="ListLabel 151"/>
    <w:qFormat/>
    <w:rPr>
      <w:color w:val="000000"/>
      <w:sz w:val="28"/>
      <w:szCs w:val="28"/>
      <w:u w:val="none"/>
      <w:lang w:val="en-US"/>
    </w:rPr>
  </w:style>
  <w:style w:type="character" w:styleId="ListLabel152">
    <w:name w:val="ListLabel 152"/>
    <w:qFormat/>
    <w:rPr>
      <w:color w:val="000000"/>
      <w:u w:val="none"/>
    </w:rPr>
  </w:style>
  <w:style w:type="character" w:styleId="ListLabel153">
    <w:name w:val="ListLabel 153"/>
    <w:qFormat/>
    <w:rPr>
      <w:color w:val="000000"/>
      <w:u w:val="none"/>
      <w:lang w:val="en-US"/>
    </w:rPr>
  </w:style>
  <w:style w:type="character" w:styleId="ListLabel154">
    <w:name w:val="ListLabel 154"/>
    <w:qFormat/>
    <w:rPr>
      <w:sz w:val="28"/>
      <w:szCs w:val="28"/>
    </w:rPr>
  </w:style>
  <w:style w:type="character" w:styleId="ListLabel155">
    <w:name w:val="ListLabel 155"/>
    <w:qFormat/>
    <w:rPr/>
  </w:style>
  <w:style w:type="character" w:styleId="ListLabel156">
    <w:name w:val="ListLabel 156"/>
    <w:qFormat/>
    <w:rPr/>
  </w:style>
  <w:style w:type="character" w:styleId="ListLabel157">
    <w:name w:val="ListLabel 157"/>
    <w:qFormat/>
    <w:rPr>
      <w:color w:val="000000"/>
      <w:sz w:val="28"/>
      <w:szCs w:val="28"/>
      <w:u w:val="none"/>
    </w:rPr>
  </w:style>
  <w:style w:type="character" w:styleId="ListLabel158">
    <w:name w:val="ListLabel 158"/>
    <w:qFormat/>
    <w:rPr>
      <w:color w:val="000000"/>
      <w:sz w:val="28"/>
      <w:szCs w:val="28"/>
      <w:u w:val="none"/>
      <w:lang w:val="en-US"/>
    </w:rPr>
  </w:style>
  <w:style w:type="character" w:styleId="ListLabel159">
    <w:name w:val="ListLabel 159"/>
    <w:qFormat/>
    <w:rPr>
      <w:color w:val="000000"/>
      <w:u w:val="none"/>
    </w:rPr>
  </w:style>
  <w:style w:type="character" w:styleId="ListLabel160">
    <w:name w:val="ListLabel 160"/>
    <w:qFormat/>
    <w:rPr>
      <w:color w:val="000000"/>
      <w:u w:val="none"/>
      <w:lang w:val="en-US"/>
    </w:rPr>
  </w:style>
  <w:style w:type="character" w:styleId="ListLabel161">
    <w:name w:val="ListLabel 161"/>
    <w:qFormat/>
    <w:rPr>
      <w:sz w:val="28"/>
      <w:szCs w:val="28"/>
    </w:rPr>
  </w:style>
  <w:style w:type="character" w:styleId="ListLabel162">
    <w:name w:val="ListLabel 162"/>
    <w:qFormat/>
    <w:rPr/>
  </w:style>
  <w:style w:type="character" w:styleId="ListLabel163">
    <w:name w:val="ListLabel 163"/>
    <w:qFormat/>
    <w:rPr/>
  </w:style>
  <w:style w:type="character" w:styleId="ListLabel164">
    <w:name w:val="ListLabel 164"/>
    <w:qFormat/>
    <w:rPr>
      <w:color w:val="000000"/>
      <w:sz w:val="28"/>
      <w:szCs w:val="28"/>
      <w:u w:val="none"/>
    </w:rPr>
  </w:style>
  <w:style w:type="character" w:styleId="ListLabel165">
    <w:name w:val="ListLabel 165"/>
    <w:qFormat/>
    <w:rPr>
      <w:color w:val="000000"/>
      <w:sz w:val="28"/>
      <w:szCs w:val="28"/>
      <w:u w:val="none"/>
      <w:lang w:val="en-US"/>
    </w:rPr>
  </w:style>
  <w:style w:type="character" w:styleId="ListLabel166">
    <w:name w:val="ListLabel 166"/>
    <w:qFormat/>
    <w:rPr>
      <w:color w:val="000000"/>
      <w:u w:val="none"/>
    </w:rPr>
  </w:style>
  <w:style w:type="character" w:styleId="ListLabel167">
    <w:name w:val="ListLabel 167"/>
    <w:qFormat/>
    <w:rPr>
      <w:color w:val="000000"/>
      <w:u w:val="none"/>
      <w:lang w:val="en-US"/>
    </w:rPr>
  </w:style>
  <w:style w:type="character" w:styleId="ListLabel168">
    <w:name w:val="ListLabel 168"/>
    <w:qFormat/>
    <w:rPr>
      <w:sz w:val="28"/>
      <w:szCs w:val="28"/>
    </w:rPr>
  </w:style>
  <w:style w:type="character" w:styleId="ListLabel169">
    <w:name w:val="ListLabel 169"/>
    <w:qFormat/>
    <w:rPr/>
  </w:style>
  <w:style w:type="character" w:styleId="ListLabel170">
    <w:name w:val="ListLabel 170"/>
    <w:qFormat/>
    <w:rPr/>
  </w:style>
  <w:style w:type="character" w:styleId="ListLabel171">
    <w:name w:val="ListLabel 171"/>
    <w:qFormat/>
    <w:rPr>
      <w:color w:val="000000"/>
      <w:sz w:val="28"/>
      <w:szCs w:val="28"/>
      <w:u w:val="none"/>
    </w:rPr>
  </w:style>
  <w:style w:type="character" w:styleId="ListLabel172">
    <w:name w:val="ListLabel 172"/>
    <w:qFormat/>
    <w:rPr>
      <w:color w:val="000000"/>
      <w:sz w:val="28"/>
      <w:szCs w:val="28"/>
      <w:u w:val="none"/>
      <w:lang w:val="en-US"/>
    </w:rPr>
  </w:style>
  <w:style w:type="character" w:styleId="ListLabel173">
    <w:name w:val="ListLabel 173"/>
    <w:qFormat/>
    <w:rPr>
      <w:color w:val="000000"/>
      <w:u w:val="none"/>
    </w:rPr>
  </w:style>
  <w:style w:type="character" w:styleId="ListLabel174">
    <w:name w:val="ListLabel 174"/>
    <w:qFormat/>
    <w:rPr>
      <w:color w:val="000000"/>
      <w:u w:val="none"/>
      <w:lang w:val="en-US"/>
    </w:rPr>
  </w:style>
  <w:style w:type="character" w:styleId="ListLabel175">
    <w:name w:val="ListLabel 175"/>
    <w:qFormat/>
    <w:rPr>
      <w:sz w:val="28"/>
      <w:szCs w:val="28"/>
    </w:rPr>
  </w:style>
  <w:style w:type="character" w:styleId="ListLabel176">
    <w:name w:val="ListLabel 176"/>
    <w:qFormat/>
    <w:rPr/>
  </w:style>
  <w:style w:type="character" w:styleId="ListLabel177">
    <w:name w:val="ListLabel 177"/>
    <w:qFormat/>
    <w:rPr/>
  </w:style>
  <w:style w:type="character" w:styleId="ListLabel178">
    <w:name w:val="ListLabel 178"/>
    <w:qFormat/>
    <w:rPr>
      <w:color w:val="000000"/>
      <w:sz w:val="28"/>
      <w:szCs w:val="28"/>
      <w:u w:val="none"/>
    </w:rPr>
  </w:style>
  <w:style w:type="character" w:styleId="ListLabel179">
    <w:name w:val="ListLabel 179"/>
    <w:qFormat/>
    <w:rPr>
      <w:color w:val="000000"/>
      <w:sz w:val="28"/>
      <w:szCs w:val="28"/>
      <w:u w:val="none"/>
      <w:lang w:val="en-US"/>
    </w:rPr>
  </w:style>
  <w:style w:type="character" w:styleId="ListLabel180">
    <w:name w:val="ListLabel 180"/>
    <w:qFormat/>
    <w:rPr>
      <w:color w:val="000000"/>
      <w:u w:val="none"/>
    </w:rPr>
  </w:style>
  <w:style w:type="character" w:styleId="ListLabel181">
    <w:name w:val="ListLabel 181"/>
    <w:qFormat/>
    <w:rPr>
      <w:color w:val="000000"/>
      <w:u w:val="none"/>
      <w:lang w:val="en-US"/>
    </w:rPr>
  </w:style>
  <w:style w:type="character" w:styleId="ListLabel182">
    <w:name w:val="ListLabel 182"/>
    <w:qFormat/>
    <w:rPr>
      <w:sz w:val="28"/>
      <w:szCs w:val="28"/>
    </w:rPr>
  </w:style>
  <w:style w:type="character" w:styleId="ListLabel183">
    <w:name w:val="ListLabel 183"/>
    <w:qFormat/>
    <w:rPr/>
  </w:style>
  <w:style w:type="character" w:styleId="ListLabel184">
    <w:name w:val="ListLabel 184"/>
    <w:qFormat/>
    <w:rPr/>
  </w:style>
  <w:style w:type="character" w:styleId="ListLabel185">
    <w:name w:val="ListLabel 185"/>
    <w:qFormat/>
    <w:rPr>
      <w:color w:val="000000"/>
      <w:sz w:val="28"/>
      <w:szCs w:val="28"/>
      <w:u w:val="none"/>
    </w:rPr>
  </w:style>
  <w:style w:type="character" w:styleId="ListLabel186">
    <w:name w:val="ListLabel 186"/>
    <w:qFormat/>
    <w:rPr>
      <w:color w:val="000000"/>
      <w:sz w:val="28"/>
      <w:szCs w:val="28"/>
      <w:u w:val="none"/>
      <w:lang w:val="en-US"/>
    </w:rPr>
  </w:style>
  <w:style w:type="character" w:styleId="ListLabel187">
    <w:name w:val="ListLabel 187"/>
    <w:qFormat/>
    <w:rPr>
      <w:color w:val="000000"/>
      <w:u w:val="none"/>
    </w:rPr>
  </w:style>
  <w:style w:type="character" w:styleId="ListLabel188">
    <w:name w:val="ListLabel 188"/>
    <w:qFormat/>
    <w:rPr>
      <w:color w:val="000000"/>
      <w:u w:val="none"/>
      <w:lang w:val="en-US"/>
    </w:rPr>
  </w:style>
  <w:style w:type="character" w:styleId="ListLabel189">
    <w:name w:val="ListLabel 189"/>
    <w:qFormat/>
    <w:rPr>
      <w:sz w:val="28"/>
      <w:szCs w:val="28"/>
    </w:rPr>
  </w:style>
  <w:style w:type="character" w:styleId="ListLabel190">
    <w:name w:val="ListLabel 190"/>
    <w:qFormat/>
    <w:rPr/>
  </w:style>
  <w:style w:type="character" w:styleId="ListLabel191">
    <w:name w:val="ListLabel 191"/>
    <w:qFormat/>
    <w:rPr/>
  </w:style>
  <w:style w:type="character" w:styleId="ListLabel192">
    <w:name w:val="ListLabel 192"/>
    <w:qFormat/>
    <w:rPr>
      <w:color w:val="000000"/>
      <w:sz w:val="28"/>
      <w:szCs w:val="28"/>
      <w:u w:val="none"/>
    </w:rPr>
  </w:style>
  <w:style w:type="character" w:styleId="ListLabel193">
    <w:name w:val="ListLabel 193"/>
    <w:qFormat/>
    <w:rPr>
      <w:color w:val="000000"/>
      <w:sz w:val="28"/>
      <w:szCs w:val="28"/>
      <w:u w:val="none"/>
      <w:lang w:val="en-US"/>
    </w:rPr>
  </w:style>
  <w:style w:type="character" w:styleId="ListLabel194">
    <w:name w:val="ListLabel 194"/>
    <w:qFormat/>
    <w:rPr>
      <w:color w:val="000000"/>
      <w:u w:val="none"/>
    </w:rPr>
  </w:style>
  <w:style w:type="character" w:styleId="ListLabel195">
    <w:name w:val="ListLabel 195"/>
    <w:qFormat/>
    <w:rPr>
      <w:color w:val="000000"/>
      <w:u w:val="none"/>
      <w:lang w:val="en-US"/>
    </w:rPr>
  </w:style>
  <w:style w:type="character" w:styleId="ListLabel196">
    <w:name w:val="ListLabel 196"/>
    <w:qFormat/>
    <w:rPr>
      <w:sz w:val="28"/>
      <w:szCs w:val="28"/>
    </w:rPr>
  </w:style>
  <w:style w:type="character" w:styleId="ListLabel197">
    <w:name w:val="ListLabel 197"/>
    <w:qFormat/>
    <w:rPr/>
  </w:style>
  <w:style w:type="character" w:styleId="ListLabel198">
    <w:name w:val="ListLabel 198"/>
    <w:qFormat/>
    <w:rPr/>
  </w:style>
  <w:style w:type="character" w:styleId="ListLabel199">
    <w:name w:val="ListLabel 199"/>
    <w:qFormat/>
    <w:rPr>
      <w:color w:val="000000"/>
      <w:sz w:val="28"/>
      <w:szCs w:val="28"/>
      <w:u w:val="none"/>
    </w:rPr>
  </w:style>
  <w:style w:type="character" w:styleId="ListLabel200">
    <w:name w:val="ListLabel 200"/>
    <w:qFormat/>
    <w:rPr>
      <w:color w:val="000000"/>
      <w:sz w:val="28"/>
      <w:szCs w:val="28"/>
      <w:u w:val="none"/>
      <w:lang w:val="en-US"/>
    </w:rPr>
  </w:style>
  <w:style w:type="character" w:styleId="ListLabel201">
    <w:name w:val="ListLabel 201"/>
    <w:qFormat/>
    <w:rPr>
      <w:color w:val="000000"/>
      <w:u w:val="none"/>
    </w:rPr>
  </w:style>
  <w:style w:type="character" w:styleId="ListLabel202">
    <w:name w:val="ListLabel 202"/>
    <w:qFormat/>
    <w:rPr>
      <w:color w:val="000000"/>
      <w:u w:val="none"/>
      <w:lang w:val="en-US"/>
    </w:rPr>
  </w:style>
  <w:style w:type="character" w:styleId="ListLabel203">
    <w:name w:val="ListLabel 203"/>
    <w:qFormat/>
    <w:rPr>
      <w:sz w:val="28"/>
      <w:szCs w:val="28"/>
    </w:rPr>
  </w:style>
  <w:style w:type="character" w:styleId="ListLabel204">
    <w:name w:val="ListLabel 204"/>
    <w:qFormat/>
    <w:rPr/>
  </w:style>
  <w:style w:type="character" w:styleId="ListLabel205">
    <w:name w:val="ListLabel 205"/>
    <w:qFormat/>
    <w:rPr/>
  </w:style>
  <w:style w:type="character" w:styleId="ListLabel206">
    <w:name w:val="ListLabel 206"/>
    <w:qFormat/>
    <w:rPr>
      <w:color w:val="000000"/>
      <w:sz w:val="28"/>
      <w:szCs w:val="28"/>
      <w:u w:val="none"/>
    </w:rPr>
  </w:style>
  <w:style w:type="character" w:styleId="ListLabel207">
    <w:name w:val="ListLabel 207"/>
    <w:qFormat/>
    <w:rPr>
      <w:color w:val="000000"/>
      <w:sz w:val="28"/>
      <w:szCs w:val="28"/>
      <w:u w:val="none"/>
      <w:lang w:val="en-US"/>
    </w:rPr>
  </w:style>
  <w:style w:type="character" w:styleId="ListLabel208">
    <w:name w:val="ListLabel 208"/>
    <w:qFormat/>
    <w:rPr>
      <w:color w:val="000000"/>
      <w:u w:val="none"/>
    </w:rPr>
  </w:style>
  <w:style w:type="character" w:styleId="ListLabel209">
    <w:name w:val="ListLabel 209"/>
    <w:qFormat/>
    <w:rPr>
      <w:color w:val="000000"/>
      <w:u w:val="none"/>
      <w:lang w:val="en-US"/>
    </w:rPr>
  </w:style>
  <w:style w:type="character" w:styleId="ListLabel210">
    <w:name w:val="ListLabel 210"/>
    <w:qFormat/>
    <w:rPr>
      <w:sz w:val="28"/>
      <w:szCs w:val="28"/>
    </w:rPr>
  </w:style>
  <w:style w:type="character" w:styleId="ListLabel211">
    <w:name w:val="ListLabel 211"/>
    <w:qFormat/>
    <w:rPr/>
  </w:style>
  <w:style w:type="character" w:styleId="ListLabel212">
    <w:name w:val="ListLabel 212"/>
    <w:qFormat/>
    <w:rPr/>
  </w:style>
  <w:style w:type="character" w:styleId="ListLabel213">
    <w:name w:val="ListLabel 213"/>
    <w:qFormat/>
    <w:rPr>
      <w:color w:val="000000"/>
      <w:sz w:val="28"/>
      <w:szCs w:val="28"/>
      <w:u w:val="none"/>
    </w:rPr>
  </w:style>
  <w:style w:type="character" w:styleId="ListLabel214">
    <w:name w:val="ListLabel 214"/>
    <w:qFormat/>
    <w:rPr>
      <w:color w:val="000000"/>
      <w:sz w:val="28"/>
      <w:szCs w:val="28"/>
      <w:u w:val="none"/>
      <w:lang w:val="en-US"/>
    </w:rPr>
  </w:style>
  <w:style w:type="character" w:styleId="ListLabel215">
    <w:name w:val="ListLabel 215"/>
    <w:qFormat/>
    <w:rPr>
      <w:color w:val="000000"/>
      <w:u w:val="none"/>
    </w:rPr>
  </w:style>
  <w:style w:type="character" w:styleId="ListLabel216">
    <w:name w:val="ListLabel 216"/>
    <w:qFormat/>
    <w:rPr>
      <w:color w:val="000000"/>
      <w:u w:val="none"/>
      <w:lang w:val="en-US"/>
    </w:rPr>
  </w:style>
  <w:style w:type="character" w:styleId="ListLabel217">
    <w:name w:val="ListLabel 217"/>
    <w:qFormat/>
    <w:rPr>
      <w:sz w:val="28"/>
      <w:szCs w:val="28"/>
    </w:rPr>
  </w:style>
  <w:style w:type="character" w:styleId="ListLabel218">
    <w:name w:val="ListLabel 218"/>
    <w:qFormat/>
    <w:rPr/>
  </w:style>
  <w:style w:type="character" w:styleId="ListLabel219">
    <w:name w:val="ListLabel 219"/>
    <w:qFormat/>
    <w:rPr/>
  </w:style>
  <w:style w:type="character" w:styleId="ListLabel220">
    <w:name w:val="ListLabel 220"/>
    <w:qFormat/>
    <w:rPr>
      <w:color w:val="000000"/>
      <w:sz w:val="28"/>
      <w:szCs w:val="28"/>
      <w:u w:val="none"/>
    </w:rPr>
  </w:style>
  <w:style w:type="character" w:styleId="ListLabel221">
    <w:name w:val="ListLabel 221"/>
    <w:qFormat/>
    <w:rPr>
      <w:color w:val="000000"/>
      <w:sz w:val="28"/>
      <w:szCs w:val="28"/>
      <w:u w:val="none"/>
      <w:lang w:val="en-US"/>
    </w:rPr>
  </w:style>
  <w:style w:type="character" w:styleId="ListLabel222">
    <w:name w:val="ListLabel 222"/>
    <w:qFormat/>
    <w:rPr>
      <w:color w:val="000000"/>
      <w:u w:val="none"/>
    </w:rPr>
  </w:style>
  <w:style w:type="character" w:styleId="ListLabel223">
    <w:name w:val="ListLabel 223"/>
    <w:qFormat/>
    <w:rPr>
      <w:color w:val="000000"/>
      <w:u w:val="none"/>
      <w:lang w:val="en-US"/>
    </w:rPr>
  </w:style>
  <w:style w:type="character" w:styleId="ListLabel224">
    <w:name w:val="ListLabel 224"/>
    <w:qFormat/>
    <w:rPr>
      <w:sz w:val="28"/>
      <w:szCs w:val="28"/>
    </w:rPr>
  </w:style>
  <w:style w:type="character" w:styleId="ListLabel225">
    <w:name w:val="ListLabel 225"/>
    <w:qFormat/>
    <w:rPr/>
  </w:style>
  <w:style w:type="character" w:styleId="ListLabel226">
    <w:name w:val="ListLabel 226"/>
    <w:qFormat/>
    <w:rPr/>
  </w:style>
  <w:style w:type="character" w:styleId="ListLabel227">
    <w:name w:val="ListLabel 227"/>
    <w:qFormat/>
    <w:rPr>
      <w:color w:val="000000"/>
      <w:sz w:val="28"/>
      <w:szCs w:val="28"/>
      <w:u w:val="none"/>
    </w:rPr>
  </w:style>
  <w:style w:type="character" w:styleId="ListLabel228">
    <w:name w:val="ListLabel 228"/>
    <w:qFormat/>
    <w:rPr>
      <w:color w:val="000000"/>
      <w:sz w:val="28"/>
      <w:szCs w:val="28"/>
      <w:u w:val="none"/>
      <w:lang w:val="en-US"/>
    </w:rPr>
  </w:style>
  <w:style w:type="character" w:styleId="ListLabel229">
    <w:name w:val="ListLabel 229"/>
    <w:qFormat/>
    <w:rPr>
      <w:color w:val="000000"/>
      <w:u w:val="none"/>
    </w:rPr>
  </w:style>
  <w:style w:type="character" w:styleId="ListLabel230">
    <w:name w:val="ListLabel 230"/>
    <w:qFormat/>
    <w:rPr>
      <w:color w:val="000000"/>
      <w:u w:val="none"/>
      <w:lang w:val="en-US"/>
    </w:rPr>
  </w:style>
  <w:style w:type="character" w:styleId="ListLabel231">
    <w:name w:val="ListLabel 231"/>
    <w:qFormat/>
    <w:rPr>
      <w:sz w:val="28"/>
      <w:szCs w:val="28"/>
    </w:rPr>
  </w:style>
  <w:style w:type="character" w:styleId="ListLabel232">
    <w:name w:val="ListLabel 232"/>
    <w:qFormat/>
    <w:rPr/>
  </w:style>
  <w:style w:type="character" w:styleId="ListLabel233">
    <w:name w:val="ListLabel 233"/>
    <w:qFormat/>
    <w:rPr/>
  </w:style>
  <w:style w:type="character" w:styleId="ListLabel234">
    <w:name w:val="ListLabel 234"/>
    <w:qFormat/>
    <w:rPr>
      <w:color w:val="000000"/>
      <w:sz w:val="28"/>
      <w:szCs w:val="28"/>
      <w:u w:val="none"/>
    </w:rPr>
  </w:style>
  <w:style w:type="character" w:styleId="ListLabel235">
    <w:name w:val="ListLabel 235"/>
    <w:qFormat/>
    <w:rPr>
      <w:color w:val="000000"/>
      <w:sz w:val="28"/>
      <w:szCs w:val="28"/>
      <w:u w:val="none"/>
      <w:lang w:val="en-US"/>
    </w:rPr>
  </w:style>
  <w:style w:type="character" w:styleId="ListLabel236">
    <w:name w:val="ListLabel 236"/>
    <w:qFormat/>
    <w:rPr>
      <w:color w:val="000000"/>
      <w:u w:val="none"/>
    </w:rPr>
  </w:style>
  <w:style w:type="character" w:styleId="ListLabel237">
    <w:name w:val="ListLabel 237"/>
    <w:qFormat/>
    <w:rPr>
      <w:color w:val="000000"/>
      <w:u w:val="none"/>
      <w:lang w:val="en-US"/>
    </w:rPr>
  </w:style>
  <w:style w:type="character" w:styleId="ListLabel238">
    <w:name w:val="ListLabel 238"/>
    <w:qFormat/>
    <w:rPr>
      <w:sz w:val="28"/>
      <w:szCs w:val="28"/>
    </w:rPr>
  </w:style>
  <w:style w:type="character" w:styleId="ListLabel239">
    <w:name w:val="ListLabel 239"/>
    <w:qFormat/>
    <w:rPr/>
  </w:style>
  <w:style w:type="character" w:styleId="ListLabel240">
    <w:name w:val="ListLabel 240"/>
    <w:qFormat/>
    <w:rPr/>
  </w:style>
  <w:style w:type="character" w:styleId="ListLabel241">
    <w:name w:val="ListLabel 241"/>
    <w:qFormat/>
    <w:rPr>
      <w:color w:val="000000"/>
      <w:sz w:val="28"/>
      <w:szCs w:val="28"/>
      <w:u w:val="none"/>
    </w:rPr>
  </w:style>
  <w:style w:type="character" w:styleId="ListLabel242">
    <w:name w:val="ListLabel 242"/>
    <w:qFormat/>
    <w:rPr>
      <w:color w:val="000000"/>
      <w:sz w:val="28"/>
      <w:szCs w:val="28"/>
      <w:u w:val="none"/>
      <w:lang w:val="en-US"/>
    </w:rPr>
  </w:style>
  <w:style w:type="character" w:styleId="ListLabel243">
    <w:name w:val="ListLabel 243"/>
    <w:qFormat/>
    <w:rPr>
      <w:color w:val="000000"/>
      <w:u w:val="none"/>
    </w:rPr>
  </w:style>
  <w:style w:type="character" w:styleId="ListLabel244">
    <w:name w:val="ListLabel 244"/>
    <w:qFormat/>
    <w:rPr>
      <w:color w:val="000000"/>
      <w:u w:val="none"/>
      <w:lang w:val="en-US"/>
    </w:rPr>
  </w:style>
  <w:style w:type="character" w:styleId="ListLabel245">
    <w:name w:val="ListLabel 245"/>
    <w:qFormat/>
    <w:rPr>
      <w:sz w:val="28"/>
      <w:szCs w:val="28"/>
    </w:rPr>
  </w:style>
  <w:style w:type="character" w:styleId="ListLabel246">
    <w:name w:val="ListLabel 246"/>
    <w:qFormat/>
    <w:rPr/>
  </w:style>
  <w:style w:type="character" w:styleId="ListLabel247">
    <w:name w:val="ListLabel 247"/>
    <w:qFormat/>
    <w:rPr/>
  </w:style>
  <w:style w:type="character" w:styleId="ListLabel248">
    <w:name w:val="ListLabel 248"/>
    <w:qFormat/>
    <w:rPr>
      <w:color w:val="000000"/>
      <w:sz w:val="28"/>
      <w:szCs w:val="28"/>
      <w:u w:val="none"/>
    </w:rPr>
  </w:style>
  <w:style w:type="character" w:styleId="ListLabel249">
    <w:name w:val="ListLabel 249"/>
    <w:qFormat/>
    <w:rPr>
      <w:color w:val="000000"/>
      <w:sz w:val="28"/>
      <w:szCs w:val="28"/>
      <w:u w:val="none"/>
      <w:lang w:val="en-US"/>
    </w:rPr>
  </w:style>
  <w:style w:type="character" w:styleId="ListLabel250">
    <w:name w:val="ListLabel 250"/>
    <w:qFormat/>
    <w:rPr>
      <w:color w:val="000000"/>
      <w:u w:val="none"/>
    </w:rPr>
  </w:style>
  <w:style w:type="character" w:styleId="ListLabel251">
    <w:name w:val="ListLabel 251"/>
    <w:qFormat/>
    <w:rPr>
      <w:color w:val="000000"/>
      <w:u w:val="none"/>
      <w:lang w:val="en-US"/>
    </w:rPr>
  </w:style>
  <w:style w:type="character" w:styleId="ListLabel252">
    <w:name w:val="ListLabel 252"/>
    <w:qFormat/>
    <w:rPr>
      <w:sz w:val="28"/>
      <w:szCs w:val="28"/>
    </w:rPr>
  </w:style>
  <w:style w:type="character" w:styleId="ListLabel253">
    <w:name w:val="ListLabel 253"/>
    <w:qFormat/>
    <w:rPr/>
  </w:style>
  <w:style w:type="character" w:styleId="ListLabel254">
    <w:name w:val="ListLabel 254"/>
    <w:qFormat/>
    <w:rPr/>
  </w:style>
  <w:style w:type="character" w:styleId="ListLabel255">
    <w:name w:val="ListLabel 255"/>
    <w:qFormat/>
    <w:rPr>
      <w:color w:val="000000"/>
      <w:sz w:val="28"/>
      <w:szCs w:val="28"/>
      <w:u w:val="none"/>
    </w:rPr>
  </w:style>
  <w:style w:type="character" w:styleId="ListLabel256">
    <w:name w:val="ListLabel 256"/>
    <w:qFormat/>
    <w:rPr>
      <w:color w:val="000000"/>
      <w:sz w:val="28"/>
      <w:szCs w:val="28"/>
      <w:u w:val="none"/>
      <w:lang w:val="en-US"/>
    </w:rPr>
  </w:style>
  <w:style w:type="character" w:styleId="ListLabel257">
    <w:name w:val="ListLabel 257"/>
    <w:qFormat/>
    <w:rPr>
      <w:color w:val="000000"/>
      <w:u w:val="none"/>
    </w:rPr>
  </w:style>
  <w:style w:type="character" w:styleId="ListLabel258">
    <w:name w:val="ListLabel 258"/>
    <w:qFormat/>
    <w:rPr>
      <w:color w:val="000000"/>
      <w:u w:val="none"/>
      <w:lang w:val="en-US"/>
    </w:rPr>
  </w:style>
  <w:style w:type="character" w:styleId="ListLabel259">
    <w:name w:val="ListLabel 259"/>
    <w:qFormat/>
    <w:rPr>
      <w:sz w:val="28"/>
      <w:szCs w:val="28"/>
    </w:rPr>
  </w:style>
  <w:style w:type="character" w:styleId="ListLabel260">
    <w:name w:val="ListLabel 260"/>
    <w:qFormat/>
    <w:rPr/>
  </w:style>
  <w:style w:type="character" w:styleId="ListLabel261">
    <w:name w:val="ListLabel 261"/>
    <w:qFormat/>
    <w:rPr/>
  </w:style>
  <w:style w:type="character" w:styleId="ListLabel262">
    <w:name w:val="ListLabel 262"/>
    <w:qFormat/>
    <w:rPr>
      <w:color w:val="000000"/>
      <w:sz w:val="28"/>
      <w:szCs w:val="28"/>
      <w:u w:val="none"/>
    </w:rPr>
  </w:style>
  <w:style w:type="character" w:styleId="ListLabel263">
    <w:name w:val="ListLabel 263"/>
    <w:qFormat/>
    <w:rPr>
      <w:color w:val="000000"/>
      <w:sz w:val="28"/>
      <w:szCs w:val="28"/>
      <w:u w:val="none"/>
      <w:lang w:val="en-US"/>
    </w:rPr>
  </w:style>
  <w:style w:type="character" w:styleId="ListLabel264">
    <w:name w:val="ListLabel 264"/>
    <w:qFormat/>
    <w:rPr>
      <w:color w:val="000000"/>
      <w:u w:val="none"/>
    </w:rPr>
  </w:style>
  <w:style w:type="character" w:styleId="ListLabel265">
    <w:name w:val="ListLabel 265"/>
    <w:qFormat/>
    <w:rPr>
      <w:color w:val="000000"/>
      <w:u w:val="none"/>
      <w:lang w:val="en-US"/>
    </w:rPr>
  </w:style>
  <w:style w:type="character" w:styleId="ListLabel266">
    <w:name w:val="ListLabel 266"/>
    <w:qFormat/>
    <w:rPr>
      <w:sz w:val="28"/>
      <w:szCs w:val="28"/>
    </w:rPr>
  </w:style>
  <w:style w:type="character" w:styleId="ListLabel267">
    <w:name w:val="ListLabel 267"/>
    <w:qFormat/>
    <w:rPr/>
  </w:style>
  <w:style w:type="character" w:styleId="ListLabel268">
    <w:name w:val="ListLabel 268"/>
    <w:qFormat/>
    <w:rPr/>
  </w:style>
  <w:style w:type="character" w:styleId="ListLabel269">
    <w:name w:val="ListLabel 269"/>
    <w:qFormat/>
    <w:rPr>
      <w:color w:val="000000"/>
      <w:sz w:val="28"/>
      <w:szCs w:val="28"/>
      <w:u w:val="none"/>
    </w:rPr>
  </w:style>
  <w:style w:type="character" w:styleId="ListLabel270">
    <w:name w:val="ListLabel 270"/>
    <w:qFormat/>
    <w:rPr>
      <w:color w:val="000000"/>
      <w:sz w:val="28"/>
      <w:szCs w:val="28"/>
      <w:u w:val="none"/>
      <w:lang w:val="en-US"/>
    </w:rPr>
  </w:style>
  <w:style w:type="character" w:styleId="ListLabel271">
    <w:name w:val="ListLabel 271"/>
    <w:qFormat/>
    <w:rPr>
      <w:color w:val="000000"/>
      <w:u w:val="none"/>
    </w:rPr>
  </w:style>
  <w:style w:type="character" w:styleId="ListLabel272">
    <w:name w:val="ListLabel 272"/>
    <w:qFormat/>
    <w:rPr>
      <w:color w:val="000000"/>
      <w:u w:val="none"/>
      <w:lang w:val="en-US"/>
    </w:rPr>
  </w:style>
  <w:style w:type="character" w:styleId="ListLabel273">
    <w:name w:val="ListLabel 273"/>
    <w:qFormat/>
    <w:rPr>
      <w:sz w:val="28"/>
      <w:szCs w:val="28"/>
    </w:rPr>
  </w:style>
  <w:style w:type="character" w:styleId="ListLabel274">
    <w:name w:val="ListLabel 274"/>
    <w:qFormat/>
    <w:rPr/>
  </w:style>
  <w:style w:type="character" w:styleId="ListLabel275">
    <w:name w:val="ListLabel 275"/>
    <w:qFormat/>
    <w:rPr/>
  </w:style>
  <w:style w:type="character" w:styleId="ListLabel276">
    <w:name w:val="ListLabel 276"/>
    <w:qFormat/>
    <w:rPr>
      <w:color w:val="000000"/>
      <w:sz w:val="28"/>
      <w:szCs w:val="28"/>
      <w:u w:val="none"/>
    </w:rPr>
  </w:style>
  <w:style w:type="character" w:styleId="ListLabel277">
    <w:name w:val="ListLabel 277"/>
    <w:qFormat/>
    <w:rPr>
      <w:color w:val="000000"/>
      <w:sz w:val="28"/>
      <w:szCs w:val="28"/>
      <w:u w:val="none"/>
      <w:lang w:val="en-US"/>
    </w:rPr>
  </w:style>
  <w:style w:type="character" w:styleId="ListLabel278">
    <w:name w:val="ListLabel 278"/>
    <w:qFormat/>
    <w:rPr>
      <w:color w:val="000000"/>
      <w:u w:val="none"/>
    </w:rPr>
  </w:style>
  <w:style w:type="character" w:styleId="ListLabel279">
    <w:name w:val="ListLabel 279"/>
    <w:qFormat/>
    <w:rPr>
      <w:color w:val="000000"/>
      <w:u w:val="none"/>
      <w:lang w:val="en-US"/>
    </w:rPr>
  </w:style>
  <w:style w:type="character" w:styleId="ListLabel280">
    <w:name w:val="ListLabel 280"/>
    <w:qFormat/>
    <w:rPr/>
  </w:style>
  <w:style w:type="character" w:styleId="ListLabel281">
    <w:name w:val="ListLabel 281"/>
    <w:qFormat/>
    <w:rPr/>
  </w:style>
  <w:style w:type="character" w:styleId="ListLabel282">
    <w:name w:val="ListLabel 282"/>
    <w:qFormat/>
    <w:rPr>
      <w:color w:val="000000"/>
      <w:sz w:val="28"/>
      <w:szCs w:val="28"/>
      <w:u w:val="none"/>
    </w:rPr>
  </w:style>
  <w:style w:type="character" w:styleId="ListLabel283">
    <w:name w:val="ListLabel 283"/>
    <w:qFormat/>
    <w:rPr>
      <w:color w:val="000000"/>
      <w:sz w:val="28"/>
      <w:szCs w:val="28"/>
      <w:u w:val="none"/>
      <w:lang w:val="en-US"/>
    </w:rPr>
  </w:style>
  <w:style w:type="character" w:styleId="ListLabel284">
    <w:name w:val="ListLabel 284"/>
    <w:qFormat/>
    <w:rPr>
      <w:color w:val="000000"/>
      <w:u w:val="none"/>
    </w:rPr>
  </w:style>
  <w:style w:type="character" w:styleId="ListLabel285">
    <w:name w:val="ListLabel 285"/>
    <w:qFormat/>
    <w:rPr>
      <w:color w:val="000000"/>
      <w:u w:val="none"/>
      <w:lang w:val="en-US"/>
    </w:rPr>
  </w:style>
  <w:style w:type="character" w:styleId="ListLabel286">
    <w:name w:val="ListLabel 286"/>
    <w:qFormat/>
    <w:rPr/>
  </w:style>
  <w:style w:type="character" w:styleId="ListLabel287">
    <w:name w:val="ListLabel 287"/>
    <w:qFormat/>
    <w:rPr>
      <w:color w:val="000000"/>
      <w:sz w:val="28"/>
      <w:szCs w:val="28"/>
      <w:u w:val="none"/>
    </w:rPr>
  </w:style>
  <w:style w:type="character" w:styleId="ListLabel288">
    <w:name w:val="ListLabel 288"/>
    <w:qFormat/>
    <w:rPr>
      <w:color w:val="000000"/>
      <w:sz w:val="28"/>
      <w:szCs w:val="28"/>
      <w:u w:val="none"/>
      <w:lang w:val="en-US"/>
    </w:rPr>
  </w:style>
  <w:style w:type="character" w:styleId="ListLabel289">
    <w:name w:val="ListLabel 289"/>
    <w:qFormat/>
    <w:rPr>
      <w:color w:val="000000"/>
      <w:u w:val="none"/>
    </w:rPr>
  </w:style>
  <w:style w:type="character" w:styleId="ListLabel290">
    <w:name w:val="ListLabel 290"/>
    <w:qFormat/>
    <w:rPr>
      <w:color w:val="000000"/>
      <w:u w:val="none"/>
      <w:lang w:val="en-US"/>
    </w:rPr>
  </w:style>
  <w:style w:type="character" w:styleId="ListLabel291">
    <w:name w:val="ListLabel 291"/>
    <w:qFormat/>
    <w:rPr/>
  </w:style>
  <w:style w:type="character" w:styleId="ListLabel292">
    <w:name w:val="ListLabel 292"/>
    <w:qFormat/>
    <w:rPr>
      <w:color w:val="000000"/>
      <w:sz w:val="28"/>
      <w:szCs w:val="28"/>
      <w:u w:val="none"/>
    </w:rPr>
  </w:style>
  <w:style w:type="character" w:styleId="ListLabel293">
    <w:name w:val="ListLabel 293"/>
    <w:qFormat/>
    <w:rPr>
      <w:color w:val="000000"/>
      <w:sz w:val="28"/>
      <w:szCs w:val="28"/>
      <w:u w:val="none"/>
      <w:lang w:val="en-US"/>
    </w:rPr>
  </w:style>
  <w:style w:type="character" w:styleId="ListLabel294">
    <w:name w:val="ListLabel 294"/>
    <w:qFormat/>
    <w:rPr>
      <w:color w:val="000000"/>
      <w:u w:val="none"/>
    </w:rPr>
  </w:style>
  <w:style w:type="character" w:styleId="ListLabel295">
    <w:name w:val="ListLabel 295"/>
    <w:qFormat/>
    <w:rPr>
      <w:color w:val="000000"/>
      <w:u w:val="none"/>
      <w:lang w:val="en-US"/>
    </w:rPr>
  </w:style>
  <w:style w:type="character" w:styleId="ListLabel296">
    <w:name w:val="ListLabel 296"/>
    <w:qFormat/>
    <w:rPr/>
  </w:style>
  <w:style w:type="character" w:styleId="ListLabel297">
    <w:name w:val="ListLabel 297"/>
    <w:qFormat/>
    <w:rPr>
      <w:color w:val="000000"/>
      <w:sz w:val="28"/>
      <w:szCs w:val="28"/>
      <w:u w:val="none"/>
    </w:rPr>
  </w:style>
  <w:style w:type="character" w:styleId="ListLabel298">
    <w:name w:val="ListLabel 298"/>
    <w:qFormat/>
    <w:rPr>
      <w:color w:val="000000"/>
      <w:sz w:val="28"/>
      <w:szCs w:val="28"/>
      <w:u w:val="none"/>
      <w:lang w:val="en-US"/>
    </w:rPr>
  </w:style>
  <w:style w:type="character" w:styleId="ListLabel299">
    <w:name w:val="ListLabel 299"/>
    <w:qFormat/>
    <w:rPr>
      <w:color w:val="000000"/>
      <w:u w:val="none"/>
    </w:rPr>
  </w:style>
  <w:style w:type="character" w:styleId="ListLabel300">
    <w:name w:val="ListLabel 300"/>
    <w:qFormat/>
    <w:rPr>
      <w:color w:val="000000"/>
      <w:u w:val="none"/>
      <w:lang w:val="en-US"/>
    </w:rPr>
  </w:style>
  <w:style w:type="character" w:styleId="ListLabel301">
    <w:name w:val="ListLabel 301"/>
    <w:qFormat/>
    <w:rPr/>
  </w:style>
  <w:style w:type="character" w:styleId="ListLabel302">
    <w:name w:val="ListLabel 302"/>
    <w:qFormat/>
    <w:rPr>
      <w:color w:val="000000"/>
      <w:sz w:val="28"/>
      <w:szCs w:val="28"/>
      <w:u w:val="none"/>
    </w:rPr>
  </w:style>
  <w:style w:type="character" w:styleId="ListLabel303">
    <w:name w:val="ListLabel 303"/>
    <w:qFormat/>
    <w:rPr>
      <w:color w:val="000000"/>
      <w:sz w:val="28"/>
      <w:szCs w:val="28"/>
      <w:u w:val="none"/>
      <w:lang w:val="en-US"/>
    </w:rPr>
  </w:style>
  <w:style w:type="character" w:styleId="ListLabel304">
    <w:name w:val="ListLabel 304"/>
    <w:qFormat/>
    <w:rPr>
      <w:color w:val="000000"/>
      <w:u w:val="none"/>
    </w:rPr>
  </w:style>
  <w:style w:type="character" w:styleId="ListLabel305">
    <w:name w:val="ListLabel 305"/>
    <w:qFormat/>
    <w:rPr>
      <w:color w:val="000000"/>
      <w:u w:val="none"/>
      <w:lang w:val="en-US"/>
    </w:rPr>
  </w:style>
  <w:style w:type="character" w:styleId="ListLabel306">
    <w:name w:val="ListLabel 306"/>
    <w:qFormat/>
    <w:rPr/>
  </w:style>
  <w:style w:type="character" w:styleId="ListLabel307">
    <w:name w:val="ListLabel 307"/>
    <w:qFormat/>
    <w:rPr>
      <w:color w:val="000000"/>
      <w:sz w:val="28"/>
      <w:szCs w:val="28"/>
      <w:u w:val="none"/>
    </w:rPr>
  </w:style>
  <w:style w:type="character" w:styleId="ListLabel308">
    <w:name w:val="ListLabel 308"/>
    <w:qFormat/>
    <w:rPr>
      <w:color w:val="000000"/>
      <w:sz w:val="28"/>
      <w:szCs w:val="28"/>
      <w:u w:val="none"/>
      <w:lang w:val="en-US"/>
    </w:rPr>
  </w:style>
  <w:style w:type="character" w:styleId="ListLabel309">
    <w:name w:val="ListLabel 309"/>
    <w:qFormat/>
    <w:rPr>
      <w:color w:val="000000"/>
      <w:u w:val="none"/>
    </w:rPr>
  </w:style>
  <w:style w:type="character" w:styleId="ListLabel310">
    <w:name w:val="ListLabel 310"/>
    <w:qFormat/>
    <w:rPr>
      <w:color w:val="000000"/>
      <w:u w:val="none"/>
      <w:lang w:val="en-US"/>
    </w:rPr>
  </w:style>
  <w:style w:type="character" w:styleId="ListLabel311">
    <w:name w:val="ListLabel 311"/>
    <w:qFormat/>
    <w:rPr/>
  </w:style>
  <w:style w:type="character" w:styleId="ListLabel312">
    <w:name w:val="ListLabel 312"/>
    <w:qFormat/>
    <w:rPr>
      <w:color w:val="000000"/>
      <w:sz w:val="28"/>
      <w:szCs w:val="28"/>
      <w:u w:val="none"/>
    </w:rPr>
  </w:style>
  <w:style w:type="character" w:styleId="ListLabel313">
    <w:name w:val="ListLabel 313"/>
    <w:qFormat/>
    <w:rPr>
      <w:color w:val="000000"/>
      <w:sz w:val="28"/>
      <w:szCs w:val="28"/>
      <w:u w:val="none"/>
      <w:lang w:val="en-US"/>
    </w:rPr>
  </w:style>
  <w:style w:type="paragraph" w:styleId="Style17">
    <w:name w:val="Заголовок"/>
    <w:basedOn w:val="Normal"/>
    <w:next w:val="Style18"/>
    <w:qFormat/>
    <w:pPr>
      <w:keepNext w:val="true"/>
      <w:spacing w:before="240" w:after="120"/>
    </w:pPr>
    <w:rPr>
      <w:rFonts w:ascii="Liberation Sans" w:hAnsi="Liberation Sans" w:eastAsia="Microsoft YaHei" w:cs="Mangal"/>
      <w:sz w:val="28"/>
      <w:szCs w:val="28"/>
    </w:rPr>
  </w:style>
  <w:style w:type="paragraph" w:styleId="Style18">
    <w:name w:val="Body Text"/>
    <w:basedOn w:val="Normal"/>
    <w:rsid w:val="005914c7"/>
    <w:pPr>
      <w:widowControl/>
      <w:spacing w:before="0" w:after="120"/>
      <w:ind w:left="0" w:hanging="0"/>
    </w:pPr>
    <w:rPr>
      <w:sz w:val="24"/>
      <w:szCs w:val="24"/>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Style22">
    <w:name w:val="Title"/>
    <w:basedOn w:val="Normal"/>
    <w:qFormat/>
    <w:pPr>
      <w:keepNext w:val="true"/>
      <w:spacing w:before="240" w:after="120"/>
    </w:pPr>
    <w:rPr>
      <w:rFonts w:ascii="Liberation Sans" w:hAnsi="Liberation Sans" w:eastAsia="Microsoft YaHei" w:cs="Mangal"/>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styleId="ConsPlusNonformat" w:customStyle="1">
    <w:name w:val="ConsPlusNonformat"/>
    <w:qFormat/>
    <w:rsid w:val="005914c7"/>
    <w:pPr>
      <w:widowControl w:val="false"/>
      <w:bidi w:val="0"/>
      <w:jc w:val="left"/>
    </w:pPr>
    <w:rPr>
      <w:rFonts w:ascii="Courier New" w:hAnsi="Courier New" w:eastAsia="Times New Roman" w:cs="Courier New"/>
      <w:color w:val="00000A"/>
      <w:kern w:val="0"/>
      <w:sz w:val="28"/>
      <w:szCs w:val="20"/>
      <w:lang w:val="ru-RU" w:eastAsia="ru-RU" w:bidi="ar-SA"/>
    </w:rPr>
  </w:style>
  <w:style w:type="paragraph" w:styleId="ConsPlusNormal" w:customStyle="1">
    <w:name w:val="ConsPlusNormal"/>
    <w:qFormat/>
    <w:rsid w:val="005914c7"/>
    <w:pPr>
      <w:widowControl w:val="false"/>
      <w:bidi w:val="0"/>
      <w:ind w:firstLine="720"/>
      <w:jc w:val="left"/>
    </w:pPr>
    <w:rPr>
      <w:rFonts w:ascii="Arial" w:hAnsi="Arial" w:eastAsia="Times New Roman" w:cs="Arial"/>
      <w:color w:val="00000A"/>
      <w:kern w:val="0"/>
      <w:sz w:val="28"/>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utp.sberbank-ast.ru/" TargetMode="External"/><Relationship Id="rId3" Type="http://schemas.openxmlformats.org/officeDocument/2006/relationships/hyperlink" Target="http://utp.sberbank-ast.ru/" TargetMode="External"/><Relationship Id="rId4" Type="http://schemas.openxmlformats.org/officeDocument/2006/relationships/hyperlink" Target="http://utp.sberbank-ast.ru/" TargetMode="External"/><Relationship Id="rId5" Type="http://schemas.openxmlformats.org/officeDocument/2006/relationships/hyperlink" Target="consultantplus://offline/main?base=LAW;n=112770;fld=134;dst=101017" TargetMode="External"/><Relationship Id="rId6" Type="http://schemas.openxmlformats.org/officeDocument/2006/relationships/hyperlink" Target="http://utp.sberbank-ast.ru/" TargetMode="External"/><Relationship Id="rId7" Type="http://schemas.openxmlformats.org/officeDocument/2006/relationships/hyperlink" Target="http://utp.sberbank-ast.ru/" TargetMode="External"/><Relationship Id="rId8" Type="http://schemas.openxmlformats.org/officeDocument/2006/relationships/hyperlink" Target="consultantplus://offline/ref=CD735DF92249256AE300504E09B27F3DF32C374B2F0972F77A2DE507B652ECF0F6C2D749h7H"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1235</TotalTime>
  <Application>LibreOffice/6.0.3.2$Windows_x86 LibreOffice_project/8f48d515416608e3a835360314dac7e47fd0b821</Application>
  <Pages>5</Pages>
  <Words>1652</Words>
  <Characters>11694</Characters>
  <CharactersWithSpaces>13330</CharactersWithSpaces>
  <Paragraphs>69</Paragraphs>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2023-02-07T15:21:00Z</dcterms:created>
  <dc:creator>ЖубатоваМ</dc:creator>
  <dc:description/>
  <dc:language>ru-RU</dc:language>
  <cp:lastModifiedBy/>
  <cp:lastPrinted>2023-05-02T10:28:27Z</cp:lastPrinted>
  <dcterms:modified xsi:type="dcterms:W3CDTF">2023-05-04T08:16:03Z</dcterms:modified>
  <cp:revision>123</cp:revision>
  <dc:subject/>
  <dc:title>Постановление Правительства РФ от 27.08.2012 N 860(ред. от 22.12.2022)"Об организации и проведении продажи государственного или муниципального имущества в электронной форме"(вместе с "Положением об организации и проведении продажи государственного или муниципального имущества в электронной форме")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КонсультантПлюс Версия 4022.00.50</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